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57D" w:rsidRDefault="009D157D">
      <w:pPr>
        <w:spacing w:line="560" w:lineRule="exact"/>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sz w:val="32"/>
          <w:szCs w:val="32"/>
        </w:rPr>
        <w:t>2</w:t>
      </w:r>
    </w:p>
    <w:p w:rsidR="009D157D" w:rsidRDefault="009D157D">
      <w:pPr>
        <w:spacing w:line="560" w:lineRule="exact"/>
        <w:jc w:val="center"/>
        <w:rPr>
          <w:rFonts w:ascii="宋体" w:cs="宋体"/>
          <w:b/>
          <w:bCs/>
          <w:sz w:val="44"/>
          <w:szCs w:val="44"/>
        </w:rPr>
      </w:pPr>
      <w:r>
        <w:rPr>
          <w:rFonts w:ascii="宋体" w:hAnsi="宋体" w:cs="宋体" w:hint="eastAsia"/>
          <w:b/>
          <w:bCs/>
          <w:sz w:val="44"/>
          <w:szCs w:val="44"/>
        </w:rPr>
        <w:t>佳木斯市市场监督管理系统行政强制措施事项清单（共</w:t>
      </w:r>
      <w:r>
        <w:rPr>
          <w:rFonts w:ascii="宋体" w:hAnsi="宋体" w:cs="宋体"/>
          <w:b/>
          <w:bCs/>
          <w:sz w:val="44"/>
          <w:szCs w:val="44"/>
        </w:rPr>
        <w:t>47</w:t>
      </w:r>
      <w:r>
        <w:rPr>
          <w:rFonts w:ascii="宋体" w:hAnsi="宋体" w:cs="宋体" w:hint="eastAsia"/>
          <w:b/>
          <w:bCs/>
          <w:sz w:val="44"/>
          <w:szCs w:val="44"/>
        </w:rPr>
        <w:t>项）</w:t>
      </w:r>
    </w:p>
    <w:p w:rsidR="009D157D" w:rsidRDefault="009D157D">
      <w:pPr>
        <w:spacing w:line="560" w:lineRule="exact"/>
        <w:rPr>
          <w:rFonts w:ascii="仿宋" w:eastAsia="仿宋" w:hAnsi="仿宋" w:cs="仿宋"/>
          <w:sz w:val="32"/>
          <w:szCs w:val="32"/>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78"/>
        <w:gridCol w:w="1505"/>
        <w:gridCol w:w="7290"/>
        <w:gridCol w:w="1665"/>
        <w:gridCol w:w="1710"/>
        <w:gridCol w:w="1940"/>
      </w:tblGrid>
      <w:tr w:rsidR="009D157D" w:rsidTr="00E371BE">
        <w:trPr>
          <w:trHeight w:val="1701"/>
        </w:trPr>
        <w:tc>
          <w:tcPr>
            <w:tcW w:w="578" w:type="dxa"/>
            <w:vAlign w:val="center"/>
          </w:tcPr>
          <w:p w:rsidR="009D157D" w:rsidRDefault="009D157D" w:rsidP="00E371BE">
            <w:pPr>
              <w:pStyle w:val="Heading3"/>
            </w:pPr>
            <w:r>
              <w:rPr>
                <w:rFonts w:hint="eastAsia"/>
              </w:rPr>
              <w:t>序号</w:t>
            </w:r>
          </w:p>
        </w:tc>
        <w:tc>
          <w:tcPr>
            <w:tcW w:w="1505" w:type="dxa"/>
            <w:vAlign w:val="center"/>
          </w:tcPr>
          <w:p w:rsidR="009D157D" w:rsidRDefault="009D157D">
            <w:pPr>
              <w:spacing w:line="560" w:lineRule="exact"/>
              <w:jc w:val="center"/>
              <w:rPr>
                <w:rFonts w:ascii="黑体" w:eastAsia="黑体" w:hAnsi="黑体" w:cs="黑体"/>
                <w:sz w:val="24"/>
              </w:rPr>
            </w:pPr>
            <w:r>
              <w:rPr>
                <w:rFonts w:ascii="黑体" w:eastAsia="黑体" w:hAnsi="黑体" w:cs="黑体" w:hint="eastAsia"/>
                <w:sz w:val="24"/>
              </w:rPr>
              <w:t>管理领域</w:t>
            </w:r>
          </w:p>
        </w:tc>
        <w:tc>
          <w:tcPr>
            <w:tcW w:w="7290" w:type="dxa"/>
            <w:vAlign w:val="center"/>
          </w:tcPr>
          <w:p w:rsidR="009D157D" w:rsidRDefault="009D157D">
            <w:pPr>
              <w:spacing w:line="560" w:lineRule="exact"/>
              <w:jc w:val="center"/>
              <w:rPr>
                <w:rFonts w:ascii="黑体" w:eastAsia="黑体" w:hAnsi="黑体" w:cs="黑体"/>
                <w:sz w:val="24"/>
              </w:rPr>
            </w:pPr>
            <w:r>
              <w:rPr>
                <w:rFonts w:ascii="黑体" w:eastAsia="黑体" w:hAnsi="黑体" w:cs="黑体" w:hint="eastAsia"/>
                <w:sz w:val="24"/>
              </w:rPr>
              <w:t>行政强制措施事项</w:t>
            </w:r>
          </w:p>
          <w:p w:rsidR="009D157D" w:rsidRDefault="009D157D">
            <w:pPr>
              <w:spacing w:line="560" w:lineRule="exact"/>
              <w:jc w:val="center"/>
              <w:rPr>
                <w:rFonts w:ascii="黑体" w:eastAsia="黑体" w:hAnsi="黑体" w:cs="黑体"/>
                <w:sz w:val="24"/>
              </w:rPr>
            </w:pPr>
            <w:r>
              <w:rPr>
                <w:rFonts w:ascii="黑体" w:eastAsia="黑体" w:hAnsi="黑体" w:cs="黑体" w:hint="eastAsia"/>
                <w:sz w:val="24"/>
              </w:rPr>
              <w:t>（需列出本领域所有行政强制措施事项）</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黑体" w:eastAsia="黑体" w:hAnsi="黑体" w:cs="黑体"/>
                <w:sz w:val="24"/>
              </w:rPr>
            </w:pPr>
            <w:r>
              <w:rPr>
                <w:rFonts w:ascii="黑体" w:eastAsia="黑体" w:hAnsi="黑体" w:cs="黑体" w:hint="eastAsia"/>
                <w:sz w:val="24"/>
              </w:rPr>
              <w:t>是否制定不予实施行政强制措施清单</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黑体" w:eastAsia="黑体" w:hAnsi="黑体" w:cs="黑体"/>
                <w:sz w:val="24"/>
              </w:rPr>
            </w:pPr>
            <w:r>
              <w:rPr>
                <w:rFonts w:ascii="黑体" w:eastAsia="黑体" w:hAnsi="黑体" w:cs="黑体" w:hint="eastAsia"/>
                <w:sz w:val="24"/>
              </w:rPr>
              <w:t>不制定不予实施行政强制措施清单的理由</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spacing w:line="560" w:lineRule="exact"/>
              <w:jc w:val="center"/>
              <w:rPr>
                <w:rFonts w:ascii="黑体" w:eastAsia="黑体" w:hAnsi="黑体" w:cs="黑体"/>
                <w:sz w:val="24"/>
              </w:rPr>
            </w:pPr>
            <w:r>
              <w:rPr>
                <w:rFonts w:ascii="黑体" w:eastAsia="黑体" w:hAnsi="黑体" w:cs="黑体" w:hint="eastAsia"/>
                <w:sz w:val="24"/>
              </w:rPr>
              <w:t>权力层级</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《中华人民共和国食品安全法》（</w:t>
            </w:r>
            <w:r>
              <w:rPr>
                <w:rFonts w:ascii="仿宋" w:eastAsia="仿宋" w:hAnsi="仿宋"/>
                <w:szCs w:val="21"/>
              </w:rPr>
              <w:t>2018</w:t>
            </w:r>
            <w:r>
              <w:rPr>
                <w:rFonts w:ascii="仿宋" w:eastAsia="仿宋" w:hAnsi="仿宋" w:hint="eastAsia"/>
                <w:szCs w:val="21"/>
              </w:rPr>
              <w:t>）</w:t>
            </w:r>
          </w:p>
          <w:p w:rsidR="009D157D" w:rsidRDefault="009D157D">
            <w:pPr>
              <w:jc w:val="left"/>
              <w:rPr>
                <w:rFonts w:ascii="仿宋" w:eastAsia="仿宋" w:hAnsi="仿宋"/>
                <w:szCs w:val="21"/>
              </w:rPr>
            </w:pPr>
            <w:r>
              <w:rPr>
                <w:rFonts w:ascii="仿宋" w:eastAsia="仿宋" w:hAnsi="仿宋" w:hint="eastAsia"/>
                <w:szCs w:val="21"/>
              </w:rPr>
              <w:t>第一百一十条第（四）项、第（五）项</w:t>
            </w:r>
            <w:r>
              <w:rPr>
                <w:rFonts w:ascii="仿宋" w:eastAsia="仿宋" w:hAnsi="仿宋"/>
                <w:szCs w:val="21"/>
              </w:rPr>
              <w:t xml:space="preserve"> </w:t>
            </w:r>
            <w:r>
              <w:rPr>
                <w:rFonts w:ascii="仿宋" w:eastAsia="仿宋" w:hAnsi="仿宋" w:hint="eastAsia"/>
                <w:szCs w:val="21"/>
              </w:rPr>
              <w:t>县级以上人民政府食品药品监督管理、质量监督部门履行各自食品安全监督管理职责，有权采取下列措施，对生产经营者遵守本法的情况进行监督检查：（四）查封、扣押有证据证明不符合食品安全标准或者有证据证明存在安全隐患以及用于违法生产经营的食品、食品添加剂、食品相关产品；（五）查封违法从事生产经营活动的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spacing w:line="560" w:lineRule="exact"/>
              <w:jc w:val="center"/>
              <w:rPr>
                <w:rFonts w:ascii="仿宋" w:eastAsia="仿宋" w:hAnsi="仿宋" w:cs="仿宋"/>
                <w:szCs w:val="21"/>
              </w:rPr>
            </w:pPr>
            <w:r>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《中华人民共和国食品安全法》（</w:t>
            </w:r>
            <w:r>
              <w:rPr>
                <w:rFonts w:ascii="仿宋" w:eastAsia="仿宋" w:hAnsi="仿宋"/>
                <w:szCs w:val="21"/>
              </w:rPr>
              <w:t>2018</w:t>
            </w:r>
            <w:r>
              <w:rPr>
                <w:rFonts w:ascii="仿宋" w:eastAsia="仿宋" w:hAnsi="仿宋" w:hint="eastAsia"/>
                <w:szCs w:val="21"/>
              </w:rPr>
              <w:t>）</w:t>
            </w:r>
          </w:p>
          <w:p w:rsidR="009D157D" w:rsidRDefault="009D157D">
            <w:pPr>
              <w:jc w:val="left"/>
              <w:rPr>
                <w:rFonts w:ascii="仿宋" w:eastAsia="仿宋" w:hAnsi="仿宋"/>
                <w:szCs w:val="21"/>
              </w:rPr>
            </w:pPr>
            <w:r>
              <w:rPr>
                <w:rFonts w:ascii="仿宋" w:eastAsia="仿宋" w:hAnsi="仿宋" w:hint="eastAsia"/>
                <w:szCs w:val="21"/>
              </w:rPr>
              <w:t>第一百零五条第一款第（二）项、第（三）项</w:t>
            </w:r>
            <w:r>
              <w:rPr>
                <w:rFonts w:ascii="仿宋" w:eastAsia="仿宋" w:hAnsi="仿宋"/>
                <w:szCs w:val="21"/>
              </w:rPr>
              <w:t xml:space="preserve"> </w:t>
            </w:r>
            <w:r>
              <w:rPr>
                <w:rFonts w:ascii="仿宋" w:eastAsia="仿宋" w:hAnsi="仿宋" w:hint="eastAsia"/>
                <w:szCs w:val="21"/>
              </w:rPr>
              <w:t>县级以上人民政府食品安全监督管理部门接到食品安全事故的报告后，应当立即会同同级卫生行政、农业行政等部门进行调查处理，并采取下列措施，防止或者减轻社会危害：（二）封存可能导致食品安全事故的食品及其原料，并立即进行检验；对确认属于被污染的食品及其原料，责令食品生产经营者依照本法第六十三条的规定召回或者停止经营；（三）封存被污染的食品相关产品，并责令进行清洗消毒；</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cs="仿宋"/>
                <w:szCs w:val="21"/>
              </w:rPr>
            </w:pPr>
            <w:r>
              <w:rPr>
                <w:rFonts w:ascii="仿宋" w:eastAsia="仿宋" w:hAnsi="仿宋" w:cs="仿宋" w:hint="eastAsia"/>
                <w:szCs w:val="21"/>
              </w:rPr>
              <w:t>《</w:t>
            </w:r>
            <w:r>
              <w:rPr>
                <w:rFonts w:ascii="仿宋" w:eastAsia="仿宋" w:hAnsi="仿宋" w:hint="eastAsia"/>
                <w:szCs w:val="21"/>
              </w:rPr>
              <w:t>中华人民共和国</w:t>
            </w:r>
            <w:r>
              <w:rPr>
                <w:rFonts w:ascii="仿宋" w:eastAsia="仿宋" w:hAnsi="仿宋" w:cs="仿宋" w:hint="eastAsia"/>
                <w:szCs w:val="21"/>
              </w:rPr>
              <w:t>食品安全法实施条例》（</w:t>
            </w:r>
            <w:r>
              <w:rPr>
                <w:rFonts w:ascii="仿宋" w:eastAsia="仿宋" w:hAnsi="仿宋" w:cs="仿宋"/>
                <w:szCs w:val="21"/>
              </w:rPr>
              <w:t>2019</w:t>
            </w:r>
            <w:r>
              <w:rPr>
                <w:rFonts w:ascii="仿宋" w:eastAsia="仿宋" w:hAnsi="仿宋" w:cs="仿宋" w:hint="eastAsia"/>
                <w:szCs w:val="21"/>
              </w:rPr>
              <w:t>）</w:t>
            </w:r>
          </w:p>
          <w:p w:rsidR="009D157D" w:rsidRDefault="009D157D">
            <w:pPr>
              <w:jc w:val="left"/>
              <w:rPr>
                <w:rFonts w:ascii="仿宋" w:eastAsia="仿宋" w:hAnsi="仿宋"/>
                <w:szCs w:val="21"/>
              </w:rPr>
            </w:pPr>
            <w:r>
              <w:rPr>
                <w:rFonts w:ascii="仿宋" w:eastAsia="仿宋" w:hAnsi="仿宋" w:cs="仿宋" w:hint="eastAsia"/>
                <w:szCs w:val="21"/>
              </w:rPr>
              <w:t>第六十一条</w:t>
            </w:r>
            <w:r>
              <w:rPr>
                <w:rFonts w:ascii="仿宋" w:eastAsia="仿宋" w:hAnsi="仿宋" w:cs="仿宋"/>
                <w:szCs w:val="21"/>
              </w:rPr>
              <w:t xml:space="preserve"> </w:t>
            </w:r>
            <w:r>
              <w:rPr>
                <w:rFonts w:ascii="仿宋" w:eastAsia="仿宋" w:hAnsi="仿宋" w:cs="仿宋" w:hint="eastAsia"/>
                <w:szCs w:val="21"/>
              </w:rPr>
              <w:t>县级以上人民政府食品安全监督管理部门依照食品安全法第一百一十条的规定实施查封、扣押措施，查封、扣押的期限不得超过</w:t>
            </w:r>
            <w:r>
              <w:rPr>
                <w:rFonts w:ascii="仿宋" w:eastAsia="仿宋" w:hAnsi="仿宋" w:cs="仿宋"/>
                <w:szCs w:val="21"/>
              </w:rPr>
              <w:t>30</w:t>
            </w:r>
            <w:r>
              <w:rPr>
                <w:rFonts w:ascii="仿宋" w:eastAsia="仿宋" w:hAnsi="仿宋" w:cs="仿宋" w:hint="eastAsia"/>
                <w:szCs w:val="21"/>
              </w:rPr>
              <w:t>日；情况复杂的，经实施查封、扣押措施的食品安全监督管理部门负责人批准，可以延长，延长期限不得超过</w:t>
            </w:r>
            <w:r>
              <w:rPr>
                <w:rFonts w:ascii="仿宋" w:eastAsia="仿宋" w:hAnsi="仿宋" w:cs="仿宋"/>
                <w:szCs w:val="21"/>
              </w:rPr>
              <w:t>45</w:t>
            </w:r>
            <w:r>
              <w:rPr>
                <w:rFonts w:ascii="仿宋" w:eastAsia="仿宋" w:hAnsi="仿宋" w:cs="仿宋" w:hint="eastAsia"/>
                <w:szCs w:val="21"/>
              </w:rPr>
              <w:t>日。</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《国务院关于加强食品等产品安全监督管理的特别规定》（</w:t>
            </w:r>
            <w:r>
              <w:rPr>
                <w:rFonts w:ascii="仿宋" w:eastAsia="仿宋" w:hAnsi="仿宋"/>
                <w:szCs w:val="21"/>
              </w:rPr>
              <w:t>2007</w:t>
            </w:r>
            <w:r>
              <w:rPr>
                <w:rFonts w:ascii="仿宋" w:eastAsia="仿宋" w:hAnsi="仿宋" w:hint="eastAsia"/>
                <w:szCs w:val="21"/>
              </w:rPr>
              <w:t>）</w:t>
            </w:r>
          </w:p>
          <w:p w:rsidR="009D157D" w:rsidRDefault="009D157D">
            <w:pPr>
              <w:jc w:val="left"/>
              <w:rPr>
                <w:rFonts w:ascii="仿宋" w:eastAsia="仿宋" w:hAnsi="仿宋" w:cs="仿宋"/>
                <w:szCs w:val="21"/>
              </w:rPr>
            </w:pPr>
            <w:r>
              <w:rPr>
                <w:rFonts w:ascii="仿宋" w:eastAsia="仿宋" w:hAnsi="仿宋" w:hint="eastAsia"/>
                <w:szCs w:val="21"/>
              </w:rPr>
              <w:t>第十五条第（二）项、第（三）项、第（四）项</w:t>
            </w:r>
            <w:r>
              <w:rPr>
                <w:rFonts w:ascii="仿宋" w:eastAsia="仿宋" w:hAnsi="仿宋"/>
                <w:szCs w:val="21"/>
              </w:rPr>
              <w:t xml:space="preserve"> </w:t>
            </w:r>
            <w:r>
              <w:rPr>
                <w:rFonts w:ascii="仿宋" w:eastAsia="仿宋" w:hAnsi="仿宋" w:hint="eastAsia"/>
                <w:szCs w:val="21"/>
              </w:rPr>
              <w:t>农业、卫生、质检、商务、工商、药品等监督管理部门履行各自产品安全监督管理职责，有下列职权：</w:t>
            </w:r>
            <w:r>
              <w:rPr>
                <w:rFonts w:ascii="仿宋" w:eastAsia="仿宋" w:hAnsi="仿宋"/>
                <w:szCs w:val="21"/>
              </w:rPr>
              <w:t xml:space="preserve"> </w:t>
            </w:r>
            <w:r>
              <w:rPr>
                <w:rFonts w:ascii="仿宋" w:eastAsia="仿宋" w:hAnsi="仿宋" w:hint="eastAsia"/>
                <w:szCs w:val="21"/>
              </w:rPr>
              <w:t>（二）查阅、复制、查封、扣押有关合同、票据、账簿以及其他有关资料；（三）查封、扣押不符合法定要求的产品，违法使用的原料、辅料、添加剂、农业投入品以及用于违法生产的工具、设备；</w:t>
            </w:r>
            <w:r>
              <w:rPr>
                <w:rFonts w:ascii="仿宋" w:eastAsia="仿宋" w:hAnsi="仿宋"/>
                <w:szCs w:val="21"/>
              </w:rPr>
              <w:t xml:space="preserve"> </w:t>
            </w:r>
            <w:r>
              <w:rPr>
                <w:rFonts w:ascii="仿宋" w:eastAsia="仿宋" w:hAnsi="仿宋" w:hint="eastAsia"/>
                <w:szCs w:val="21"/>
              </w:rPr>
              <w:t>（四）查封存在危害人体健康和生命安全重大隐患的生产经营场所。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《食品生产经营日常监督检查管理办法》（</w:t>
            </w:r>
            <w:r>
              <w:rPr>
                <w:rFonts w:ascii="仿宋" w:eastAsia="仿宋" w:hAnsi="仿宋"/>
                <w:szCs w:val="21"/>
              </w:rPr>
              <w:t>2016</w:t>
            </w:r>
            <w:r>
              <w:rPr>
                <w:rFonts w:ascii="仿宋" w:eastAsia="仿宋" w:hAnsi="仿宋" w:hint="eastAsia"/>
                <w:szCs w:val="21"/>
              </w:rPr>
              <w:t>）</w:t>
            </w:r>
          </w:p>
          <w:p w:rsidR="009D157D" w:rsidRDefault="009D157D">
            <w:pPr>
              <w:jc w:val="left"/>
              <w:rPr>
                <w:rFonts w:ascii="仿宋" w:eastAsia="仿宋" w:hAnsi="仿宋"/>
                <w:szCs w:val="21"/>
              </w:rPr>
            </w:pPr>
            <w:r>
              <w:rPr>
                <w:rFonts w:ascii="仿宋" w:eastAsia="仿宋" w:hAnsi="仿宋" w:hint="eastAsia"/>
                <w:szCs w:val="21"/>
              </w:rPr>
              <w:t>第二十六条第一款第（四）项、第（五）项</w:t>
            </w:r>
            <w:r>
              <w:rPr>
                <w:rFonts w:ascii="仿宋" w:eastAsia="仿宋" w:hAnsi="仿宋"/>
                <w:szCs w:val="21"/>
              </w:rPr>
              <w:t xml:space="preserve"> </w:t>
            </w:r>
            <w:r>
              <w:rPr>
                <w:rFonts w:ascii="仿宋" w:eastAsia="仿宋" w:hAnsi="仿宋" w:hint="eastAsia"/>
                <w:szCs w:val="21"/>
              </w:rPr>
              <w:t>市、县级食品药品监督管理部门实施日常监督检查，有权采取下列措施，被检查单位不得拒绝、阻挠、干涉：（四）查封、扣押有证据证明不符合食品安全标准或者有证据证明存在安全隐患以及用于违法生产经营的食品、工具和设备；（五）查封违法从事生产经营活动的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《食用农产品市场销售质量安全监督管理办法》（</w:t>
            </w:r>
            <w:r>
              <w:rPr>
                <w:rFonts w:ascii="仿宋" w:eastAsia="仿宋" w:hAnsi="仿宋"/>
                <w:szCs w:val="21"/>
              </w:rPr>
              <w:t>2016</w:t>
            </w:r>
            <w:r>
              <w:rPr>
                <w:rFonts w:ascii="仿宋" w:eastAsia="仿宋" w:hAnsi="仿宋" w:hint="eastAsia"/>
                <w:szCs w:val="21"/>
              </w:rPr>
              <w:t>）</w:t>
            </w:r>
          </w:p>
          <w:p w:rsidR="009D157D" w:rsidRDefault="009D157D">
            <w:pPr>
              <w:jc w:val="left"/>
              <w:rPr>
                <w:rFonts w:ascii="仿宋" w:eastAsia="仿宋" w:hAnsi="仿宋"/>
                <w:szCs w:val="21"/>
              </w:rPr>
            </w:pPr>
            <w:r>
              <w:rPr>
                <w:rFonts w:ascii="仿宋" w:eastAsia="仿宋" w:hAnsi="仿宋" w:hint="eastAsia"/>
                <w:szCs w:val="21"/>
              </w:rPr>
              <w:t>第三十八条第（五）项、第（六）项</w:t>
            </w:r>
            <w:r>
              <w:rPr>
                <w:rFonts w:ascii="仿宋" w:eastAsia="仿宋" w:hAnsi="仿宋"/>
                <w:szCs w:val="21"/>
              </w:rPr>
              <w:t xml:space="preserve"> </w:t>
            </w:r>
            <w:r>
              <w:rPr>
                <w:rFonts w:ascii="仿宋" w:eastAsia="仿宋" w:hAnsi="仿宋" w:hint="eastAsia"/>
                <w:szCs w:val="21"/>
              </w:rPr>
              <w:t>市、县级食品药品监督管理部门按照地方政府属地管理要求，可以依法采取下列措施，对集中交易市场开办者、销售者、贮存服务提供者遵守本办法情况进行日常监督检查：（五）对有证据证明不符合食品安全标准或者有证据证明存在质量安全隐患以及用于违法生产经营的食用农产品，有权查封、扣押、监督销毁；（六）查封违法从事食用农产品销售活动的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《餐饮服务食品安全监督管理办法》（</w:t>
            </w:r>
            <w:r>
              <w:rPr>
                <w:rFonts w:ascii="仿宋" w:eastAsia="仿宋" w:hAnsi="仿宋"/>
                <w:szCs w:val="21"/>
              </w:rPr>
              <w:t>2010</w:t>
            </w:r>
            <w:r>
              <w:rPr>
                <w:rFonts w:ascii="仿宋" w:eastAsia="仿宋" w:hAnsi="仿宋" w:hint="eastAsia"/>
                <w:szCs w:val="21"/>
              </w:rPr>
              <w:t>）</w:t>
            </w:r>
          </w:p>
          <w:p w:rsidR="009D157D" w:rsidRDefault="009D157D">
            <w:pPr>
              <w:jc w:val="left"/>
              <w:rPr>
                <w:rFonts w:ascii="仿宋" w:eastAsia="仿宋" w:hAnsi="仿宋"/>
                <w:szCs w:val="21"/>
              </w:rPr>
            </w:pPr>
            <w:r>
              <w:rPr>
                <w:rFonts w:ascii="仿宋" w:eastAsia="仿宋" w:hAnsi="仿宋" w:hint="eastAsia"/>
                <w:szCs w:val="21"/>
              </w:rPr>
              <w:t>第二十条第（一）项、第（二）项、第（三）项</w:t>
            </w:r>
            <w:r>
              <w:rPr>
                <w:rFonts w:ascii="仿宋" w:eastAsia="仿宋" w:hAnsi="仿宋"/>
                <w:szCs w:val="21"/>
              </w:rPr>
              <w:t xml:space="preserve"> </w:t>
            </w:r>
            <w:r>
              <w:rPr>
                <w:rFonts w:ascii="仿宋" w:eastAsia="仿宋" w:hAnsi="仿宋" w:hint="eastAsia"/>
                <w:szCs w:val="21"/>
              </w:rPr>
              <w:t>县级以上食品药品监督管理部门按照有关规定开展餐饮服务食品安全事故调查，有权向有关餐饮服务提供者了解与食品安全事故有关的情况，要求餐饮服务提供者提供相关资料和样品，并采取以下措施：（一）封存造成食品安全事故或者可能导致食品安全事故的食品及其原料，并立即进行检验；（二）封存被污染的食品工具及用具，并责令进行清洗消毒；（三）经检验，属于被污染的食品，予以监督销毁；未被污染的食品，予以解封；</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（食品）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《乳品质量安全监督管理条例》（</w:t>
            </w:r>
            <w:r>
              <w:rPr>
                <w:rFonts w:ascii="仿宋" w:eastAsia="仿宋" w:hAnsi="仿宋"/>
                <w:szCs w:val="21"/>
              </w:rPr>
              <w:t>2008</w:t>
            </w:r>
            <w:r>
              <w:rPr>
                <w:rFonts w:ascii="仿宋" w:eastAsia="仿宋" w:hAnsi="仿宋" w:hint="eastAsia"/>
                <w:szCs w:val="21"/>
              </w:rPr>
              <w:t>）</w:t>
            </w:r>
          </w:p>
          <w:p w:rsidR="009D157D" w:rsidRDefault="009D157D">
            <w:pPr>
              <w:jc w:val="left"/>
              <w:rPr>
                <w:rFonts w:ascii="仿宋" w:eastAsia="仿宋" w:hAnsi="仿宋"/>
                <w:szCs w:val="21"/>
              </w:rPr>
            </w:pPr>
            <w:r>
              <w:rPr>
                <w:rFonts w:ascii="仿宋" w:eastAsia="仿宋" w:hAnsi="仿宋" w:hint="eastAsia"/>
                <w:szCs w:val="21"/>
              </w:rPr>
              <w:t>第四十七条第（四）项、第（五）项畜牧兽医、质量监督、工商行政管理等部门在依据各自职责进行监督检查时，行使下列职权：（四）查封、扣押有证据证明不符合乳品质量安全国家标准的乳品以及违法使用的生鲜乳、辅料、添加剂；（五）查封涉嫌违法从事乳品生产经营活动的场所，扣押用于违法生产经营的工具、设备；</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《中华人民共和国药品管理法》（</w:t>
            </w:r>
            <w:r>
              <w:rPr>
                <w:rFonts w:ascii="仿宋" w:eastAsia="仿宋" w:hAnsi="仿宋"/>
                <w:szCs w:val="21"/>
              </w:rPr>
              <w:t>2019</w:t>
            </w:r>
            <w:r>
              <w:rPr>
                <w:rFonts w:ascii="仿宋" w:eastAsia="仿宋" w:hAnsi="仿宋" w:hint="eastAsia"/>
                <w:szCs w:val="21"/>
              </w:rPr>
              <w:t>）</w:t>
            </w:r>
          </w:p>
          <w:p w:rsidR="009D157D" w:rsidRDefault="009D157D">
            <w:pPr>
              <w:jc w:val="left"/>
              <w:rPr>
                <w:rFonts w:ascii="仿宋" w:eastAsia="仿宋" w:hAnsi="仿宋"/>
                <w:szCs w:val="21"/>
              </w:rPr>
            </w:pPr>
            <w:r>
              <w:rPr>
                <w:rFonts w:ascii="仿宋" w:eastAsia="仿宋" w:hAnsi="仿宋" w:hint="eastAsia"/>
                <w:szCs w:val="21"/>
              </w:rPr>
              <w:t>第一百条第二款</w:t>
            </w:r>
            <w:r>
              <w:rPr>
                <w:rFonts w:ascii="仿宋" w:eastAsia="仿宋" w:hAnsi="仿宋"/>
                <w:szCs w:val="21"/>
              </w:rPr>
              <w:t xml:space="preserve"> </w:t>
            </w:r>
            <w:r>
              <w:rPr>
                <w:rFonts w:ascii="仿宋" w:eastAsia="仿宋" w:hAnsi="仿宋" w:hint="eastAsia"/>
                <w:szCs w:val="21"/>
              </w:rPr>
              <w:t>对有证据证明可能危害人体健康的药品及其有关材料，药品监督管理部门可以查封、扣押，并在七日内作出行政处理决定；药品需要检验的，应当自检验报告书发出之日起十五日内作出行政处理决定。</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《中华人民共和国疫苗管理法》（</w:t>
            </w:r>
            <w:r>
              <w:rPr>
                <w:rFonts w:ascii="仿宋" w:eastAsia="仿宋" w:hAnsi="仿宋"/>
                <w:szCs w:val="21"/>
              </w:rPr>
              <w:t>2019</w:t>
            </w:r>
            <w:r>
              <w:rPr>
                <w:rFonts w:ascii="仿宋" w:eastAsia="仿宋" w:hAnsi="仿宋" w:hint="eastAsia"/>
                <w:szCs w:val="21"/>
              </w:rPr>
              <w:t>）第七十三条第一款</w:t>
            </w:r>
            <w:r>
              <w:rPr>
                <w:rFonts w:ascii="仿宋" w:eastAsia="仿宋" w:hAnsi="仿宋"/>
                <w:szCs w:val="21"/>
              </w:rPr>
              <w:t xml:space="preserve"> </w:t>
            </w:r>
            <w:r>
              <w:rPr>
                <w:rFonts w:ascii="仿宋" w:eastAsia="仿宋" w:hAnsi="仿宋" w:hint="eastAsia"/>
                <w:szCs w:val="21"/>
              </w:rPr>
              <w:t>疫苗存在或者疑似存在质量问题的，疫苗上市许可持有人、疾病预防控制机构、接种单位应当立即停止销售、配送、使用，必要时立即停止生产，按照规定向县级以上人民政府药品监督管理部门、卫生健康主管部门报告。卫生健康主管部门应当立即组织疾病预防控制机构和接种单位采取必要的应急处置措施，同时向上级人民政府卫生健康主管部门报告。药品监督管理部门应当依法采取查封、扣押等措施。对已经销售的疫苗，疫苗上市许可持有人应当及时通知相关疾病预防控制机构、疫苗配送单位、接种单位，按照规定召回，如实记录召回和通知情况，疾病预防控制机构、疫苗配送单位、接种单位应当予以配合。</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《麻醉药品和精神药品管理条例》（</w:t>
            </w:r>
            <w:r>
              <w:rPr>
                <w:rFonts w:ascii="仿宋" w:eastAsia="仿宋" w:hAnsi="仿宋"/>
                <w:szCs w:val="21"/>
              </w:rPr>
              <w:t>2016</w:t>
            </w:r>
            <w:r>
              <w:rPr>
                <w:rFonts w:ascii="仿宋" w:eastAsia="仿宋" w:hAnsi="仿宋" w:hint="eastAsia"/>
                <w:szCs w:val="21"/>
              </w:rPr>
              <w:t>）第六十条第二款</w:t>
            </w:r>
            <w:r>
              <w:rPr>
                <w:rFonts w:ascii="仿宋" w:eastAsia="仿宋" w:hAnsi="仿宋"/>
                <w:szCs w:val="21"/>
              </w:rPr>
              <w:t xml:space="preserve"> </w:t>
            </w:r>
            <w:r>
              <w:rPr>
                <w:rFonts w:ascii="仿宋" w:eastAsia="仿宋" w:hAnsi="仿宋" w:hint="eastAsia"/>
                <w:szCs w:val="21"/>
              </w:rPr>
              <w:t>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w:t>
            </w:r>
            <w:r>
              <w:rPr>
                <w:rFonts w:ascii="仿宋" w:eastAsia="仿宋" w:hAnsi="仿宋"/>
                <w:szCs w:val="21"/>
              </w:rPr>
              <w:t>7</w:t>
            </w:r>
            <w:r>
              <w:rPr>
                <w:rFonts w:ascii="仿宋" w:eastAsia="仿宋" w:hAnsi="仿宋" w:hint="eastAsia"/>
                <w:szCs w:val="21"/>
              </w:rPr>
              <w:t>日内作出行政处理决定，并通报同级公安机关。</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《疫苗流通和预防接种管理条例》（</w:t>
            </w:r>
            <w:r>
              <w:rPr>
                <w:rFonts w:ascii="仿宋" w:eastAsia="仿宋" w:hAnsi="仿宋"/>
                <w:szCs w:val="21"/>
              </w:rPr>
              <w:t>2016</w:t>
            </w:r>
            <w:r>
              <w:rPr>
                <w:rFonts w:ascii="仿宋" w:eastAsia="仿宋" w:hAnsi="仿宋" w:hint="eastAsia"/>
                <w:szCs w:val="21"/>
              </w:rPr>
              <w:t>）第四十九条第一款</w:t>
            </w:r>
            <w:r>
              <w:rPr>
                <w:rFonts w:ascii="仿宋" w:eastAsia="仿宋" w:hAnsi="仿宋"/>
                <w:szCs w:val="21"/>
              </w:rPr>
              <w:t xml:space="preserve"> </w:t>
            </w:r>
            <w:r>
              <w:rPr>
                <w:rFonts w:ascii="仿宋" w:eastAsia="仿宋" w:hAnsi="仿宋" w:hint="eastAsia"/>
                <w:szCs w:val="21"/>
              </w:rPr>
              <w:t>药品监督管理部门在监督检查中，对有证据证明可能危害人体健康的疫苗及其有关材料可以采取查封、扣押的措施，并在７日内作出处理决定；疫苗需要检验的，应当自检验报告书发出之日起</w:t>
            </w:r>
            <w:r>
              <w:rPr>
                <w:rFonts w:ascii="仿宋" w:eastAsia="仿宋" w:hAnsi="仿宋"/>
                <w:szCs w:val="21"/>
              </w:rPr>
              <w:t>15</w:t>
            </w:r>
            <w:r>
              <w:rPr>
                <w:rFonts w:ascii="仿宋" w:eastAsia="仿宋" w:hAnsi="仿宋" w:hint="eastAsia"/>
                <w:szCs w:val="21"/>
              </w:rPr>
              <w:t>日内作出处理决定。第四十九条第二款</w:t>
            </w:r>
            <w:r>
              <w:rPr>
                <w:rFonts w:ascii="仿宋" w:eastAsia="仿宋" w:hAnsi="仿宋"/>
                <w:szCs w:val="21"/>
              </w:rPr>
              <w:t xml:space="preserve"> </w:t>
            </w:r>
            <w:r>
              <w:rPr>
                <w:rFonts w:ascii="仿宋" w:eastAsia="仿宋" w:hAnsi="仿宋" w:hint="eastAsia"/>
                <w:szCs w:val="21"/>
              </w:rPr>
              <w:t>疾病预防控制机构、接种单位、疫苗生产企业、疫苗批发企业发现假劣或者质量可疑的疫苗，应当立即停止接种、分发、供应、销售，并立即向所在地的县级人民政府卫生主管部门和药品监督管理部门报告，不得自行处理。接到报告的卫生主管部门应当立即组织疾病预防控制机构和接种单位采取必要的应急处置措施，同时向上级卫生主管部门报告；接到报告的药品监督管理部门应当对假劣或者质量可疑的疫苗依法采取查封、扣押等措施。</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《药品流通监督管理办法》（</w:t>
            </w:r>
            <w:r>
              <w:rPr>
                <w:rFonts w:ascii="仿宋" w:eastAsia="仿宋" w:hAnsi="仿宋"/>
                <w:szCs w:val="21"/>
              </w:rPr>
              <w:t>2007</w:t>
            </w:r>
            <w:r>
              <w:rPr>
                <w:rFonts w:ascii="仿宋" w:eastAsia="仿宋" w:hAnsi="仿宋" w:hint="eastAsia"/>
                <w:szCs w:val="21"/>
              </w:rPr>
              <w:t>）第十九条第二款</w:t>
            </w:r>
            <w:r>
              <w:rPr>
                <w:rFonts w:ascii="仿宋" w:eastAsia="仿宋" w:hAnsi="仿宋"/>
                <w:szCs w:val="21"/>
              </w:rPr>
              <w:t xml:space="preserve"> </w:t>
            </w:r>
            <w:r>
              <w:rPr>
                <w:rFonts w:ascii="仿宋" w:eastAsia="仿宋" w:hAnsi="仿宋" w:hint="eastAsia"/>
                <w:szCs w:val="21"/>
              </w:rPr>
              <w:t>药品监督管理部门发现药品生产、经营企业违反本条前款规定的，应当立即查封、扣押所涉药品，并依法进行处理。</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《药品进口管理办法》（</w:t>
            </w:r>
            <w:r>
              <w:rPr>
                <w:rFonts w:ascii="仿宋" w:eastAsia="仿宋" w:hAnsi="仿宋"/>
                <w:szCs w:val="21"/>
              </w:rPr>
              <w:t>2003</w:t>
            </w:r>
            <w:r>
              <w:rPr>
                <w:rFonts w:ascii="仿宋" w:eastAsia="仿宋" w:hAnsi="仿宋" w:hint="eastAsia"/>
                <w:szCs w:val="21"/>
              </w:rPr>
              <w:t>）第三十条</w:t>
            </w:r>
            <w:r>
              <w:rPr>
                <w:rFonts w:ascii="仿宋" w:eastAsia="仿宋" w:hAnsi="仿宋"/>
                <w:szCs w:val="21"/>
              </w:rPr>
              <w:t xml:space="preserve"> </w:t>
            </w:r>
            <w:r>
              <w:rPr>
                <w:rFonts w:ascii="仿宋" w:eastAsia="仿宋" w:hAnsi="仿宋" w:hint="eastAsia"/>
                <w:szCs w:val="21"/>
              </w:rPr>
              <w:t>口岸药品检验所根据本办法第二十五条的规定不予抽样但已办结海关验放手续的药品，口岸药品监督管理局应当对已进口的全部药品采取查封、扣押的行政强制措施。（第二十五条第一款</w:t>
            </w:r>
            <w:r>
              <w:rPr>
                <w:rFonts w:ascii="仿宋" w:eastAsia="仿宋" w:hAnsi="仿宋"/>
                <w:szCs w:val="21"/>
              </w:rPr>
              <w:t xml:space="preserve"> </w:t>
            </w:r>
            <w:r>
              <w:rPr>
                <w:rFonts w:ascii="仿宋" w:eastAsia="仿宋" w:hAnsi="仿宋" w:hint="eastAsia"/>
                <w:szCs w:val="21"/>
              </w:rPr>
              <w:t>对有下列情形之一的进口药品，口岸药品检验所不予抽样：（一）未提供出厂检验报告书和原产地证明原件，或者所提供的原件与申报进口备案时的复印件不符的；（二）装运唛头与单证不符的；（三）进口药品批号或者数量与单证不符的；（四）进口药品包装及标签与单证不符的；（五）其他不符合国家药品监督管理法律、法规和规章规定的。第二款</w:t>
            </w:r>
            <w:r>
              <w:rPr>
                <w:rFonts w:ascii="仿宋" w:eastAsia="仿宋" w:hAnsi="仿宋"/>
                <w:szCs w:val="21"/>
              </w:rPr>
              <w:t xml:space="preserve"> </w:t>
            </w:r>
            <w:r>
              <w:rPr>
                <w:rFonts w:ascii="仿宋" w:eastAsia="仿宋" w:hAnsi="仿宋" w:hint="eastAsia"/>
                <w:szCs w:val="21"/>
              </w:rPr>
              <w:t>对不予抽样的药品，口岸药品检验所应当在</w:t>
            </w:r>
            <w:r>
              <w:rPr>
                <w:rFonts w:ascii="仿宋" w:eastAsia="仿宋" w:hAnsi="仿宋"/>
                <w:szCs w:val="21"/>
              </w:rPr>
              <w:t>2</w:t>
            </w:r>
            <w:r>
              <w:rPr>
                <w:rFonts w:ascii="仿宋" w:eastAsia="仿宋" w:hAnsi="仿宋" w:hint="eastAsia"/>
                <w:szCs w:val="21"/>
              </w:rPr>
              <w:t>日内，将《进口药品抽样记录单》送交所在地口岸药品监督管理局。）第三十一条第二款</w:t>
            </w:r>
            <w:r>
              <w:rPr>
                <w:rFonts w:ascii="仿宋" w:eastAsia="仿宋" w:hAnsi="仿宋"/>
                <w:szCs w:val="21"/>
              </w:rPr>
              <w:t xml:space="preserve"> </w:t>
            </w:r>
            <w:r>
              <w:rPr>
                <w:rFonts w:ascii="仿宋" w:eastAsia="仿宋" w:hAnsi="仿宋" w:hint="eastAsia"/>
                <w:szCs w:val="21"/>
              </w:rPr>
              <w:t>所在地口岸药品监督管理局收到《进口药品检验报告书》后，应当及时采取对全部药品予以查封、扣押的行政强制措施</w:t>
            </w:r>
            <w:r>
              <w:rPr>
                <w:rFonts w:ascii="仿宋" w:eastAsia="仿宋" w:hAnsi="仿宋"/>
                <w:szCs w:val="21"/>
              </w:rPr>
              <w:t>,</w:t>
            </w:r>
            <w:r>
              <w:rPr>
                <w:rFonts w:ascii="仿宋" w:eastAsia="仿宋" w:hAnsi="仿宋" w:hint="eastAsia"/>
                <w:szCs w:val="21"/>
              </w:rPr>
              <w:t>并在</w:t>
            </w:r>
            <w:r>
              <w:rPr>
                <w:rFonts w:ascii="仿宋" w:eastAsia="仿宋" w:hAnsi="仿宋"/>
                <w:szCs w:val="21"/>
              </w:rPr>
              <w:t>7</w:t>
            </w:r>
            <w:r>
              <w:rPr>
                <w:rFonts w:ascii="仿宋" w:eastAsia="仿宋" w:hAnsi="仿宋" w:hint="eastAsia"/>
                <w:szCs w:val="21"/>
              </w:rPr>
              <w:t>日内作出行政处理决定。对申请复验的，必须自检验报告书发出之日起</w:t>
            </w:r>
            <w:r>
              <w:rPr>
                <w:rFonts w:ascii="仿宋" w:eastAsia="仿宋" w:hAnsi="仿宋"/>
                <w:szCs w:val="21"/>
              </w:rPr>
              <w:t>15</w:t>
            </w:r>
            <w:r>
              <w:rPr>
                <w:rFonts w:ascii="仿宋" w:eastAsia="仿宋" w:hAnsi="仿宋" w:hint="eastAsia"/>
                <w:szCs w:val="21"/>
              </w:rPr>
              <w:t>日内作出行政处理决定。有关情况应当及时报告国家食品药品监督管理局，同时通告各省、自治区、直辖市药品监督管理局和其他口岸药品监督管理局。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《药品类易制毒化学品管理办法》（</w:t>
            </w:r>
            <w:r>
              <w:rPr>
                <w:rFonts w:ascii="仿宋" w:eastAsia="仿宋" w:hAnsi="仿宋"/>
                <w:szCs w:val="21"/>
              </w:rPr>
              <w:t>2010</w:t>
            </w:r>
            <w:r>
              <w:rPr>
                <w:rFonts w:ascii="仿宋" w:eastAsia="仿宋" w:hAnsi="仿宋" w:hint="eastAsia"/>
                <w:szCs w:val="21"/>
              </w:rPr>
              <w:t>）第三十六条第一款</w:t>
            </w:r>
            <w:r>
              <w:rPr>
                <w:rFonts w:ascii="仿宋" w:eastAsia="仿宋" w:hAnsi="仿宋"/>
                <w:szCs w:val="21"/>
              </w:rPr>
              <w:t xml:space="preserve"> </w:t>
            </w:r>
            <w:r>
              <w:rPr>
                <w:rFonts w:ascii="仿宋" w:eastAsia="仿宋" w:hAnsi="仿宋" w:hint="eastAsia"/>
                <w:szCs w:val="21"/>
              </w:rPr>
              <w:t>食品药品监督管理部门对药品类易制毒化学品的生产、经营、购买活动进行监督检查时，可以依法查看现场、查阅和复制有关资料、记录有关情况、扣押相关的证据材料和违法物品；必要时，可以临时查封有关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《易制毒化学品管理条例》（</w:t>
            </w:r>
            <w:r>
              <w:rPr>
                <w:rFonts w:ascii="仿宋" w:eastAsia="仿宋" w:hAnsi="仿宋"/>
                <w:szCs w:val="21"/>
              </w:rPr>
              <w:t>2018</w:t>
            </w:r>
            <w:r>
              <w:rPr>
                <w:rFonts w:ascii="仿宋" w:eastAsia="仿宋" w:hAnsi="仿宋" w:hint="eastAsia"/>
                <w:szCs w:val="21"/>
              </w:rPr>
              <w:t>）第三十二条第二款</w:t>
            </w:r>
            <w:r>
              <w:rPr>
                <w:rFonts w:ascii="仿宋" w:eastAsia="仿宋" w:hAnsi="仿宋"/>
                <w:szCs w:val="21"/>
              </w:rPr>
              <w:t xml:space="preserve"> </w:t>
            </w:r>
            <w:r>
              <w:rPr>
                <w:rFonts w:ascii="仿宋" w:eastAsia="仿宋" w:hAnsi="仿宋" w:hint="eastAsia"/>
                <w:szCs w:val="21"/>
              </w:rPr>
              <w:t>前款规定的行政主管部门在进行易制毒化学品监督检查时，可以依法查看现场、查阅和复制有关资料、记录有关情况、扣押相关的证据材料和违法物品；必要时，可以临时查封有关场所。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（药品）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《药品广告审查办法》（</w:t>
            </w:r>
            <w:r>
              <w:rPr>
                <w:rFonts w:ascii="仿宋" w:eastAsia="仿宋" w:hAnsi="仿宋"/>
                <w:szCs w:val="21"/>
              </w:rPr>
              <w:t>2018</w:t>
            </w:r>
            <w:r>
              <w:rPr>
                <w:rFonts w:ascii="仿宋" w:eastAsia="仿宋" w:hAnsi="仿宋" w:hint="eastAsia"/>
                <w:szCs w:val="21"/>
              </w:rPr>
              <w:t>）第二十一条</w:t>
            </w:r>
            <w:r>
              <w:rPr>
                <w:rFonts w:ascii="仿宋" w:eastAsia="仿宋" w:hAnsi="仿宋"/>
                <w:szCs w:val="21"/>
              </w:rPr>
              <w:t xml:space="preserve"> </w:t>
            </w:r>
            <w:r>
              <w:rPr>
                <w:rFonts w:ascii="仿宋" w:eastAsia="仿宋" w:hAnsi="仿宋" w:hint="eastAsia"/>
                <w:szCs w:val="21"/>
              </w:rPr>
              <w:t>对任意扩大产品适应症（功能主治）范围、绝对化夸大药品疗效、严重欺骗和误导消费者的违法广告，省以上药品监督管理部门一经发现，应当采取行政强制措施，暂停该药品在辖区内的销售，同时责令违法发布药品广告的企业在当地相应的媒体发布更正启事。违法发布药品广告的企业按要求发布更正启事后，省以上药品监督管理部门应当在</w:t>
            </w:r>
            <w:r>
              <w:rPr>
                <w:rFonts w:ascii="仿宋" w:eastAsia="仿宋" w:hAnsi="仿宋"/>
                <w:szCs w:val="21"/>
              </w:rPr>
              <w:t>15</w:t>
            </w:r>
            <w:r>
              <w:rPr>
                <w:rFonts w:ascii="仿宋" w:eastAsia="仿宋" w:hAnsi="仿宋" w:hint="eastAsia"/>
                <w:szCs w:val="21"/>
              </w:rPr>
              <w:t>个工作日内做出解除行政强制措施的决定；需要进行药品检验的，药品监督管理部门应当自检验报告书发出之日起</w:t>
            </w:r>
            <w:r>
              <w:rPr>
                <w:rFonts w:ascii="仿宋" w:eastAsia="仿宋" w:hAnsi="仿宋"/>
                <w:szCs w:val="21"/>
              </w:rPr>
              <w:t>15</w:t>
            </w:r>
            <w:r>
              <w:rPr>
                <w:rFonts w:ascii="仿宋" w:eastAsia="仿宋" w:hAnsi="仿宋" w:hint="eastAsia"/>
                <w:szCs w:val="21"/>
              </w:rPr>
              <w:t>日内，做出是否解除行政强制措施的决定。</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（医疗器械）</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《医疗器械监督管理条例》（</w:t>
            </w:r>
            <w:r>
              <w:rPr>
                <w:rFonts w:ascii="仿宋" w:eastAsia="仿宋" w:hAnsi="仿宋"/>
                <w:szCs w:val="21"/>
              </w:rPr>
              <w:t>2017</w:t>
            </w:r>
            <w:r>
              <w:rPr>
                <w:rFonts w:ascii="仿宋" w:eastAsia="仿宋" w:hAnsi="仿宋" w:hint="eastAsia"/>
                <w:szCs w:val="21"/>
              </w:rPr>
              <w:t>）第五十四条第一款第二项、第三项、第四项食品药品监督管理部门在监督检查中有下列职权：（二）查阅、复制、查封、扣押有关合同、票据、账簿以及其他有关资料；（三）查封、扣押不符合法定要求的医疗器械，违法使用的零配件、原材料以及用于违法生产医疗器械的工具、设备；（四）查封违反本条例规定从事医疗器械生产经营活动的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（医疗器械）</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《医疗器械网络销售监督管理办法》（</w:t>
            </w:r>
            <w:r>
              <w:rPr>
                <w:rFonts w:ascii="仿宋" w:eastAsia="仿宋" w:hAnsi="仿宋"/>
                <w:szCs w:val="21"/>
              </w:rPr>
              <w:t>2018</w:t>
            </w:r>
            <w:r>
              <w:rPr>
                <w:rFonts w:ascii="仿宋" w:eastAsia="仿宋" w:hAnsi="仿宋" w:hint="eastAsia"/>
                <w:szCs w:val="21"/>
              </w:rPr>
              <w:t>）第二十九条第一款第（六）项</w:t>
            </w:r>
            <w:r>
              <w:rPr>
                <w:rFonts w:ascii="仿宋" w:eastAsia="仿宋" w:hAnsi="仿宋"/>
                <w:szCs w:val="21"/>
              </w:rPr>
              <w:t xml:space="preserve"> </w:t>
            </w:r>
            <w:r>
              <w:rPr>
                <w:rFonts w:ascii="仿宋" w:eastAsia="仿宋" w:hAnsi="仿宋" w:hint="eastAsia"/>
                <w:szCs w:val="21"/>
              </w:rPr>
              <w:t>食品药品监督管理部门开展医疗器械网络销售日常监督管理，或者对涉嫌违法违规的医疗器械网络销售行为进行查处时，有权采取下列措施：（六）依法查封扣押数据存储介质等；</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（化妆品）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《化妆品监督管理条例》（</w:t>
            </w:r>
            <w:r>
              <w:rPr>
                <w:rFonts w:ascii="仿宋" w:eastAsia="仿宋" w:hAnsi="仿宋"/>
                <w:szCs w:val="21"/>
              </w:rPr>
              <w:t>2021</w:t>
            </w:r>
            <w:r>
              <w:rPr>
                <w:rFonts w:ascii="仿宋" w:eastAsia="仿宋" w:hAnsi="仿宋" w:hint="eastAsia"/>
                <w:szCs w:val="21"/>
              </w:rPr>
              <w:t>）第四十六条　负责药品监督管理的部门对化妆品生产经营进行监督检查时，有权采取下列措施：（一）进入生产经营场所实施现场检查；（二）对生产经营的化妆品进行抽样检验；（三）查阅、复制有关合同、票据、账簿以及其他有关资料；（四）查封、扣押不符合强制性国家标准、技术规范或者有证据证明可能危害人体健康的化妆品及其原料、直接接触化妆品的包装材料，以及有证据证明用于违法生产经营的工具、设备；（五）查封违法从事生产经营活动的场所。</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（特种设备）</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《特种设备安全法》（</w:t>
            </w:r>
            <w:r>
              <w:rPr>
                <w:rFonts w:ascii="仿宋" w:eastAsia="仿宋" w:hAnsi="仿宋"/>
                <w:szCs w:val="21"/>
              </w:rPr>
              <w:t>2014</w:t>
            </w:r>
            <w:r>
              <w:rPr>
                <w:rFonts w:ascii="仿宋" w:eastAsia="仿宋" w:hAnsi="仿宋" w:hint="eastAsia"/>
                <w:szCs w:val="21"/>
              </w:rPr>
              <w:t>）第六十一条第（三）项、第（四）项</w:t>
            </w:r>
            <w:r>
              <w:rPr>
                <w:rFonts w:ascii="仿宋" w:eastAsia="仿宋" w:hAnsi="仿宋"/>
                <w:szCs w:val="21"/>
              </w:rPr>
              <w:t xml:space="preserve"> </w:t>
            </w:r>
            <w:r>
              <w:rPr>
                <w:rFonts w:ascii="仿宋" w:eastAsia="仿宋" w:hAnsi="仿宋" w:hint="eastAsia"/>
                <w:szCs w:val="21"/>
              </w:rPr>
              <w:t>负责特种设备安全监督管理的部门在依法履行监督检查职责时，可以行使下列职权：（三）对有证据表明不符合安全技术规范要求或者存在严重事故隐患的特种设备实施查封、扣押；</w:t>
            </w:r>
            <w:r>
              <w:rPr>
                <w:rFonts w:ascii="仿宋" w:eastAsia="仿宋" w:hAnsi="仿宋"/>
                <w:szCs w:val="21"/>
              </w:rPr>
              <w:t xml:space="preserve"> </w:t>
            </w:r>
            <w:r>
              <w:rPr>
                <w:rFonts w:ascii="仿宋" w:eastAsia="仿宋" w:hAnsi="仿宋" w:hint="eastAsia"/>
                <w:szCs w:val="21"/>
              </w:rPr>
              <w:t>（四）对流入市场的达到报废条件或者已经报废的特种设备实施查封、扣押；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（特种设备）</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《特种设备安全监察条例》（</w:t>
            </w:r>
            <w:r>
              <w:rPr>
                <w:rFonts w:ascii="仿宋" w:eastAsia="仿宋" w:hAnsi="仿宋"/>
                <w:szCs w:val="21"/>
              </w:rPr>
              <w:t>2009</w:t>
            </w:r>
            <w:r>
              <w:rPr>
                <w:rFonts w:ascii="仿宋" w:eastAsia="仿宋" w:hAnsi="仿宋" w:hint="eastAsia"/>
                <w:szCs w:val="21"/>
              </w:rPr>
              <w:t>）第五十一条第（三）项</w:t>
            </w:r>
            <w:r>
              <w:rPr>
                <w:rFonts w:ascii="仿宋" w:eastAsia="仿宋" w:hAnsi="仿宋"/>
                <w:szCs w:val="21"/>
              </w:rPr>
              <w:t xml:space="preserve"> </w:t>
            </w:r>
            <w:r>
              <w:rPr>
                <w:rFonts w:ascii="仿宋" w:eastAsia="仿宋" w:hAnsi="仿宋" w:hint="eastAsia"/>
                <w:szCs w:val="21"/>
              </w:rPr>
              <w:t>特种设备安全监督管理部门根据举报或者取得的涉嫌违法证据，对涉嫌违反本条例规定的行为进行查处时，可以行使下列职权：（三）对有证据表明不符合安全技术规范要求的或者有其他严重事故隐患、能耗严重超标的特种设备，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（产品质量）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《产品质量法》（</w:t>
            </w:r>
            <w:r>
              <w:rPr>
                <w:rFonts w:ascii="仿宋" w:eastAsia="仿宋" w:hAnsi="仿宋"/>
                <w:szCs w:val="21"/>
              </w:rPr>
              <w:t>2018</w:t>
            </w:r>
            <w:r>
              <w:rPr>
                <w:rFonts w:ascii="仿宋" w:eastAsia="仿宋" w:hAnsi="仿宋" w:hint="eastAsia"/>
                <w:szCs w:val="21"/>
              </w:rPr>
              <w:t>）第十八条第一款第（四）项</w:t>
            </w:r>
            <w:r>
              <w:rPr>
                <w:rFonts w:ascii="仿宋" w:eastAsia="仿宋" w:hAnsi="仿宋"/>
                <w:szCs w:val="21"/>
              </w:rPr>
              <w:t xml:space="preserve"> </w:t>
            </w:r>
            <w:r>
              <w:rPr>
                <w:rFonts w:ascii="仿宋" w:eastAsia="仿宋" w:hAnsi="仿宋" w:hint="eastAsia"/>
                <w:szCs w:val="21"/>
              </w:rPr>
              <w:t>县级以上市场监督管理部门根据已经取得的违法嫌疑证据或者举报，对涉嫌违反本法规定的行为进行查处时，可以行使下列职权：（四）对有根据认为不符合保障人体健康和人身、财产安全的国家标准、行业标准的产品或者有其他严重质量问题的产品，以及直接用于生产、销售该项产品的原辅材料、包装物、生产工具，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（产品质量）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《中华人民共和国工业产品生产许可证管理条例》（</w:t>
            </w:r>
            <w:r>
              <w:rPr>
                <w:rFonts w:ascii="仿宋" w:eastAsia="仿宋" w:hAnsi="仿宋"/>
                <w:szCs w:val="21"/>
              </w:rPr>
              <w:t>2005</w:t>
            </w:r>
            <w:r>
              <w:rPr>
                <w:rFonts w:ascii="仿宋" w:eastAsia="仿宋" w:hAnsi="仿宋" w:hint="eastAsia"/>
                <w:szCs w:val="21"/>
              </w:rPr>
              <w:t>）第三十七条第一款第（三）项</w:t>
            </w:r>
            <w:r>
              <w:rPr>
                <w:rFonts w:ascii="仿宋" w:eastAsia="仿宋" w:hAnsi="仿宋"/>
                <w:szCs w:val="21"/>
              </w:rPr>
              <w:t xml:space="preserve"> </w:t>
            </w:r>
            <w:r>
              <w:rPr>
                <w:rFonts w:ascii="仿宋" w:eastAsia="仿宋" w:hAnsi="仿宋" w:hint="eastAsia"/>
                <w:szCs w:val="21"/>
              </w:rPr>
              <w:t>县级以上工业产品生产许可证主管部门根据已经取得的违法嫌疑证据或者举报，对涉嫌违反本条例的行为进行查处并可以行使下列职权：（三）对有证据表明属于违反本条例生产、销售或者在经营活动中使用的列入目录产品予以查封或者扣押。第二款县级以上工商行政管理部门依法对涉嫌违反本条例规定的行为进行查处时，也可以行使前款规定的职权。</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（产品质量）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《工业产品生产许可证管理条例实施办法》（</w:t>
            </w:r>
            <w:r>
              <w:rPr>
                <w:rFonts w:ascii="仿宋" w:eastAsia="仿宋" w:hAnsi="仿宋"/>
                <w:szCs w:val="21"/>
              </w:rPr>
              <w:t>2014</w:t>
            </w:r>
            <w:r>
              <w:rPr>
                <w:rFonts w:ascii="仿宋" w:eastAsia="仿宋" w:hAnsi="仿宋" w:hint="eastAsia"/>
                <w:szCs w:val="21"/>
              </w:rPr>
              <w:t>）第四十四条第（三）项</w:t>
            </w:r>
            <w:r>
              <w:rPr>
                <w:rFonts w:ascii="仿宋" w:eastAsia="仿宋" w:hAnsi="仿宋"/>
                <w:szCs w:val="21"/>
              </w:rPr>
              <w:t xml:space="preserve"> </w:t>
            </w:r>
            <w:r>
              <w:rPr>
                <w:rFonts w:ascii="仿宋" w:eastAsia="仿宋" w:hAnsi="仿宋" w:hint="eastAsia"/>
                <w:szCs w:val="21"/>
              </w:rPr>
              <w:t>根据举报或者已经取得的违法嫌疑证据，县级以上地方质量技术监督局对涉嫌违法行为进行查处并可以行使下列职权：（三）对有证据表明属于违反《管理条例》生产、销售或者在经营活动中使用的列入目录产品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（产品质量）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《茧丝质量监督管理办法》（</w:t>
            </w:r>
            <w:r>
              <w:rPr>
                <w:rFonts w:ascii="仿宋" w:eastAsia="仿宋" w:hAnsi="仿宋"/>
                <w:szCs w:val="21"/>
              </w:rPr>
              <w:t>2018</w:t>
            </w:r>
            <w:r>
              <w:rPr>
                <w:rFonts w:ascii="仿宋" w:eastAsia="仿宋" w:hAnsi="仿宋" w:hint="eastAsia"/>
                <w:szCs w:val="21"/>
              </w:rPr>
              <w:t>）第十条第（四）项</w:t>
            </w:r>
            <w:r>
              <w:rPr>
                <w:rFonts w:ascii="仿宋" w:eastAsia="仿宋" w:hAnsi="仿宋"/>
                <w:szCs w:val="21"/>
              </w:rPr>
              <w:t xml:space="preserve"> </w:t>
            </w:r>
            <w:r>
              <w:rPr>
                <w:rFonts w:ascii="仿宋" w:eastAsia="仿宋" w:hAnsi="仿宋" w:hint="eastAsia"/>
                <w:szCs w:val="21"/>
              </w:rPr>
              <w:t>纤维质量监督机构进行茧丝质量监督检查，以及根据违法嫌疑证据或者举报，对涉嫌违反本办法规定的行为进行查处时，可以行使下列职权：（四）对涉嫌掺杂掺假、以次充好、以假充真或者其他有严重质量问题的茧丝以及直接用于生产掺杂掺假、以次充好、以假充真的茧丝的设备、工具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（产品质量）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《麻类纤维质量监督管理办法》（</w:t>
            </w:r>
            <w:r>
              <w:rPr>
                <w:rFonts w:ascii="仿宋" w:eastAsia="仿宋" w:hAnsi="仿宋"/>
                <w:szCs w:val="21"/>
              </w:rPr>
              <w:t>2005</w:t>
            </w:r>
            <w:r>
              <w:rPr>
                <w:rFonts w:ascii="仿宋" w:eastAsia="仿宋" w:hAnsi="仿宋" w:hint="eastAsia"/>
                <w:szCs w:val="21"/>
              </w:rPr>
              <w:t>）第十一条第（四）项</w:t>
            </w:r>
            <w:r>
              <w:rPr>
                <w:rFonts w:ascii="仿宋" w:eastAsia="仿宋" w:hAnsi="仿宋"/>
                <w:szCs w:val="21"/>
              </w:rPr>
              <w:t xml:space="preserve"> </w:t>
            </w:r>
            <w:r>
              <w:rPr>
                <w:rFonts w:ascii="仿宋" w:eastAsia="仿宋" w:hAnsi="仿宋" w:hint="eastAsia"/>
                <w:szCs w:val="21"/>
              </w:rPr>
              <w:t>纤维质量监督机构进行麻类纤维质量监督检查，以及根据涉嫌违法证据或者举报，对涉嫌违反本办法规定的行为进行查处时，可以行使下列职权：（四）对涉嫌掺杂掺假、以假充真、以次充好或者其他有严重质量问题的麻类纤维，以及直接用于生产掺杂掺假、以假充真、以次充好的麻类纤维的设备、工具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（产品质量）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《毛绒纤维质量监督管理办法》（</w:t>
            </w:r>
            <w:r>
              <w:rPr>
                <w:rFonts w:ascii="仿宋" w:eastAsia="仿宋" w:hAnsi="仿宋"/>
                <w:szCs w:val="21"/>
              </w:rPr>
              <w:t>2003</w:t>
            </w:r>
            <w:r>
              <w:rPr>
                <w:rFonts w:ascii="仿宋" w:eastAsia="仿宋" w:hAnsi="仿宋" w:hint="eastAsia"/>
                <w:szCs w:val="21"/>
              </w:rPr>
              <w:t>）第十条第（四）项纤维质量监督机构进行监督检查以及根据涉嫌质量违法的证据或者举报，对违反本办法规定的行为进行查处时，可以行使下列职权：</w:t>
            </w:r>
            <w:r>
              <w:rPr>
                <w:rFonts w:ascii="仿宋" w:eastAsia="仿宋" w:hAnsi="仿宋"/>
                <w:szCs w:val="21"/>
              </w:rPr>
              <w:t>(</w:t>
            </w:r>
            <w:r>
              <w:rPr>
                <w:rFonts w:ascii="仿宋" w:eastAsia="仿宋" w:hAnsi="仿宋" w:hint="eastAsia"/>
                <w:szCs w:val="21"/>
              </w:rPr>
              <w:t>四</w:t>
            </w:r>
            <w:r>
              <w:rPr>
                <w:rFonts w:ascii="仿宋" w:eastAsia="仿宋" w:hAnsi="仿宋"/>
                <w:szCs w:val="21"/>
              </w:rPr>
              <w:t>)</w:t>
            </w:r>
            <w:r>
              <w:rPr>
                <w:rFonts w:ascii="仿宋" w:eastAsia="仿宋" w:hAnsi="仿宋" w:hint="eastAsia"/>
                <w:szCs w:val="21"/>
              </w:rPr>
              <w:t>对涉嫌掺杂掺假、以假充真、以次充好或者其他有严重质量问题的毛绒纤维，以及直接用于生产掺杂掺假、以假充真、以次充好的设备、工具予以查封或者扣押。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（产品质量）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《棉花质量监督管理条例》（</w:t>
            </w:r>
            <w:r>
              <w:rPr>
                <w:rFonts w:ascii="仿宋" w:eastAsia="仿宋" w:hAnsi="仿宋"/>
                <w:szCs w:val="21"/>
              </w:rPr>
              <w:t>2017</w:t>
            </w:r>
            <w:r>
              <w:rPr>
                <w:rFonts w:ascii="仿宋" w:eastAsia="仿宋" w:hAnsi="仿宋" w:hint="eastAsia"/>
                <w:szCs w:val="21"/>
              </w:rPr>
              <w:t>）第二十条第（四）项棉花质量监督机构在实施棉花质量监督检查过程中，根据违法嫌疑证据或者举报，对涉嫌违反本条例规定的行为进行查处时，可以行使下列职权：（四）对涉嫌掺杂掺假、以次充好、以假充真或者其他有严重质量问题的棉花以及专门用于生产掺杂掺假、以次充好、以假充真的棉花的设备、工具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（竞争执法）</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《反垄断法》（</w:t>
            </w:r>
            <w:r>
              <w:rPr>
                <w:rFonts w:ascii="仿宋" w:eastAsia="仿宋" w:hAnsi="仿宋"/>
                <w:szCs w:val="21"/>
              </w:rPr>
              <w:t>2008</w:t>
            </w:r>
            <w:r>
              <w:rPr>
                <w:rFonts w:ascii="仿宋" w:eastAsia="仿宋" w:hAnsi="仿宋" w:hint="eastAsia"/>
                <w:szCs w:val="21"/>
              </w:rPr>
              <w:t>）第三十九条第一款第（四）项</w:t>
            </w:r>
            <w:r>
              <w:rPr>
                <w:rFonts w:ascii="仿宋" w:eastAsia="仿宋" w:hAnsi="仿宋"/>
                <w:szCs w:val="21"/>
              </w:rPr>
              <w:t xml:space="preserve"> </w:t>
            </w:r>
            <w:r>
              <w:rPr>
                <w:rFonts w:ascii="仿宋" w:eastAsia="仿宋" w:hAnsi="仿宋" w:hint="eastAsia"/>
                <w:szCs w:val="21"/>
              </w:rPr>
              <w:t>反垄断执法机构调查涉嫌垄断行为，可以采取下列措施：（四）查封、扣押相关证据；</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（竞争执法）</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《反不正当竞争法》（</w:t>
            </w:r>
            <w:r>
              <w:rPr>
                <w:rFonts w:ascii="仿宋" w:eastAsia="仿宋" w:hAnsi="仿宋"/>
                <w:szCs w:val="21"/>
              </w:rPr>
              <w:t>2019</w:t>
            </w:r>
            <w:r>
              <w:rPr>
                <w:rFonts w:ascii="仿宋" w:eastAsia="仿宋" w:hAnsi="仿宋" w:hint="eastAsia"/>
                <w:szCs w:val="21"/>
              </w:rPr>
              <w:t>）第十三条第一款第（四）项</w:t>
            </w:r>
            <w:r>
              <w:rPr>
                <w:rFonts w:ascii="仿宋" w:eastAsia="仿宋" w:hAnsi="仿宋"/>
                <w:szCs w:val="21"/>
              </w:rPr>
              <w:t xml:space="preserve"> </w:t>
            </w:r>
            <w:r>
              <w:rPr>
                <w:rFonts w:ascii="仿宋" w:eastAsia="仿宋" w:hAnsi="仿宋" w:hint="eastAsia"/>
                <w:szCs w:val="21"/>
              </w:rPr>
              <w:t>监督检查部门调查涉嫌不正当竞争行为，可以采取下列措施：（四）查封、扣押与涉嫌不正当竞争行为有关的财物；（第二款</w:t>
            </w:r>
            <w:r>
              <w:rPr>
                <w:rFonts w:ascii="仿宋" w:eastAsia="仿宋" w:hAnsi="仿宋"/>
                <w:szCs w:val="21"/>
              </w:rPr>
              <w:t xml:space="preserve"> </w:t>
            </w:r>
            <w:r>
              <w:rPr>
                <w:rFonts w:ascii="仿宋" w:eastAsia="仿宋" w:hAnsi="仿宋" w:hint="eastAsia"/>
                <w:szCs w:val="21"/>
              </w:rPr>
              <w:t>采取前款规定的措施，应当向监督检查部门主要负责人书面报告，并经批准。采取前款第四项、第五项规定的措施，应当向设区的市级以上人民政府监督检查部门主要负责人书面报告，并经批准。）</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（竞争执法）</w:t>
            </w:r>
          </w:p>
        </w:tc>
        <w:tc>
          <w:tcPr>
            <w:tcW w:w="7290" w:type="dxa"/>
            <w:vAlign w:val="center"/>
          </w:tcPr>
          <w:p w:rsidR="009D157D" w:rsidRDefault="009D157D">
            <w:pPr>
              <w:jc w:val="left"/>
              <w:rPr>
                <w:rFonts w:ascii="仿宋" w:eastAsia="仿宋" w:hAnsi="仿宋"/>
                <w:szCs w:val="21"/>
              </w:rPr>
            </w:pPr>
            <w:r>
              <w:rPr>
                <w:rFonts w:ascii="仿宋" w:eastAsia="仿宋" w:hAnsi="仿宋" w:cs="仿宋" w:hint="eastAsia"/>
                <w:szCs w:val="21"/>
              </w:rPr>
              <w:t>《直销管理条例》（</w:t>
            </w:r>
            <w:r>
              <w:rPr>
                <w:rFonts w:ascii="仿宋" w:eastAsia="仿宋" w:hAnsi="仿宋" w:cs="仿宋"/>
                <w:szCs w:val="21"/>
              </w:rPr>
              <w:t>2017</w:t>
            </w:r>
            <w:r>
              <w:rPr>
                <w:rFonts w:ascii="仿宋" w:eastAsia="仿宋" w:hAnsi="仿宋" w:cs="仿宋" w:hint="eastAsia"/>
                <w:szCs w:val="21"/>
              </w:rPr>
              <w:t>）第三十五条第一款第（四）项、第三十六条</w:t>
            </w:r>
            <w:r>
              <w:rPr>
                <w:rFonts w:ascii="仿宋" w:eastAsia="仿宋" w:hAnsi="仿宋" w:cs="仿宋"/>
                <w:szCs w:val="21"/>
              </w:rPr>
              <w:t xml:space="preserve"> </w:t>
            </w:r>
            <w:r>
              <w:rPr>
                <w:rFonts w:ascii="仿宋" w:eastAsia="仿宋" w:hAnsi="仿宋" w:cs="仿宋" w:hint="eastAsia"/>
                <w:szCs w:val="21"/>
              </w:rPr>
              <w:t>工商行政管理部门负责对直销企业和直销员及其直销活动实施日常的监督管理。工商行政管理部门可以采取下列措施进行现场检查：查阅、复制、查封、扣押相关企业与直销活动有关的材料和非法财物；第二款</w:t>
            </w:r>
            <w:r>
              <w:rPr>
                <w:rFonts w:ascii="仿宋" w:eastAsia="仿宋" w:hAnsi="仿宋" w:cs="仿宋"/>
                <w:szCs w:val="21"/>
              </w:rPr>
              <w:t xml:space="preserve"> </w:t>
            </w:r>
            <w:r>
              <w:rPr>
                <w:rFonts w:ascii="仿宋" w:eastAsia="仿宋" w:hAnsi="仿宋" w:cs="仿宋" w:hint="eastAsia"/>
                <w:szCs w:val="21"/>
              </w:rPr>
              <w:t>工商行政管理部门依照前款规定进行现场检查时，检查人员不得少于</w:t>
            </w:r>
            <w:r>
              <w:rPr>
                <w:rFonts w:ascii="仿宋" w:eastAsia="仿宋" w:hAnsi="仿宋" w:cs="仿宋"/>
                <w:szCs w:val="21"/>
              </w:rPr>
              <w:t>2</w:t>
            </w:r>
            <w:r>
              <w:rPr>
                <w:rFonts w:ascii="仿宋" w:eastAsia="仿宋" w:hAnsi="仿宋" w:cs="仿宋" w:hint="eastAsia"/>
                <w:szCs w:val="21"/>
              </w:rPr>
              <w:t>人，并应当出示合法证件；实施查封、扣押的，必须经县级以上工商行政管理部门主要负责人批准。</w:t>
            </w:r>
            <w:r>
              <w:rPr>
                <w:rFonts w:ascii="仿宋" w:eastAsia="仿宋" w:hAnsi="仿宋" w:cs="仿宋"/>
                <w:szCs w:val="21"/>
              </w:rPr>
              <w:t xml:space="preserve"> </w:t>
            </w:r>
            <w:r>
              <w:rPr>
                <w:rFonts w:ascii="仿宋" w:eastAsia="仿宋" w:hAnsi="仿宋" w:cs="仿宋" w:hint="eastAsia"/>
                <w:szCs w:val="21"/>
              </w:rPr>
              <w:t>第三十六条</w:t>
            </w:r>
            <w:r>
              <w:rPr>
                <w:rFonts w:ascii="仿宋" w:eastAsia="仿宋" w:hAnsi="仿宋" w:cs="仿宋"/>
                <w:szCs w:val="21"/>
              </w:rPr>
              <w:t xml:space="preserve"> </w:t>
            </w:r>
            <w:r>
              <w:rPr>
                <w:rFonts w:ascii="仿宋" w:eastAsia="仿宋" w:hAnsi="仿宋" w:cs="仿宋" w:hint="eastAsia"/>
                <w:szCs w:val="21"/>
              </w:rPr>
              <w:t>工商行政管理部门实施日常监督管理，发现有关企业有涉嫌违反本条例行为的，经县级以上工商行政管理部门主要负责人批准，可以责令其暂时停止有关的经营活动。</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88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（竞争执法）</w:t>
            </w:r>
          </w:p>
        </w:tc>
        <w:tc>
          <w:tcPr>
            <w:tcW w:w="7290" w:type="dxa"/>
            <w:vAlign w:val="center"/>
          </w:tcPr>
          <w:p w:rsidR="009D157D" w:rsidRDefault="009D157D">
            <w:pPr>
              <w:jc w:val="left"/>
              <w:rPr>
                <w:rFonts w:ascii="仿宋" w:eastAsia="仿宋" w:hAnsi="仿宋"/>
                <w:szCs w:val="21"/>
              </w:rPr>
            </w:pPr>
            <w:r>
              <w:rPr>
                <w:rFonts w:ascii="仿宋" w:eastAsia="仿宋" w:hAnsi="仿宋" w:cs="仿宋" w:hint="eastAsia"/>
                <w:szCs w:val="21"/>
              </w:rPr>
              <w:t>《禁止传销条例》（</w:t>
            </w:r>
            <w:r>
              <w:rPr>
                <w:rFonts w:ascii="仿宋" w:eastAsia="仿宋" w:hAnsi="仿宋" w:cs="仿宋"/>
                <w:szCs w:val="21"/>
              </w:rPr>
              <w:t>2005</w:t>
            </w:r>
            <w:r>
              <w:rPr>
                <w:rFonts w:ascii="仿宋" w:eastAsia="仿宋" w:hAnsi="仿宋" w:cs="仿宋" w:hint="eastAsia"/>
                <w:szCs w:val="21"/>
              </w:rPr>
              <w:t>）第十四条第一款第（四）项、第（五）项、第（六）项、第（七）项、第（八）项</w:t>
            </w:r>
            <w:r>
              <w:rPr>
                <w:rFonts w:ascii="仿宋" w:eastAsia="仿宋" w:hAnsi="仿宋" w:cs="仿宋"/>
                <w:szCs w:val="21"/>
              </w:rPr>
              <w:t xml:space="preserve"> </w:t>
            </w:r>
            <w:r>
              <w:rPr>
                <w:rFonts w:ascii="仿宋" w:eastAsia="仿宋" w:hAnsi="仿宋" w:cs="仿宋" w:hint="eastAsia"/>
                <w:szCs w:val="21"/>
              </w:rPr>
              <w:t>县级以上工商行政管理部门对涉嫌传销行为进行查处时，可以采取下列措施：（四）查阅、复制、查封、扣押涉嫌传销的有关合同、票据、账簿等资料；（五）查封、扣押涉嫌专门用于传销的产品（商品）、工具、设备、原材料等财物；（六）查封涉嫌传销的经营场所；（七）查询涉嫌传销的组织者或者经营者的账户及与存款有关的会计凭证、账簿、对账单等；（八）对有证据证明转移或者隐匿违法资金的，可以申请司法机关予以冻结。第二款</w:t>
            </w:r>
            <w:r>
              <w:rPr>
                <w:rFonts w:ascii="仿宋" w:eastAsia="仿宋" w:hAnsi="仿宋" w:cs="仿宋"/>
                <w:szCs w:val="21"/>
              </w:rPr>
              <w:t xml:space="preserve"> </w:t>
            </w:r>
            <w:r>
              <w:rPr>
                <w:rFonts w:ascii="仿宋" w:eastAsia="仿宋" w:hAnsi="仿宋" w:cs="仿宋" w:hint="eastAsia"/>
                <w:szCs w:val="21"/>
              </w:rPr>
              <w:t>工商行政管理部门采取前款规定的措施，应当向县级以上工商行政管理部门主要负责人书面或者口头报告并经批准。遇有紧急情况需要当场采取前款规定措施的，应当在事后立即报告并补办相关手续；其中，实施前款规定的查封、扣押，以及第（七）项、第（八）项规定的措施，应当事先经县级以上工商行政管理部门主要负责人书面批准。《条例》规定查扣期限不超过</w:t>
            </w:r>
            <w:r>
              <w:rPr>
                <w:rFonts w:ascii="仿宋" w:eastAsia="仿宋" w:hAnsi="仿宋" w:cs="仿宋"/>
                <w:szCs w:val="21"/>
              </w:rPr>
              <w:t>30</w:t>
            </w:r>
            <w:r>
              <w:rPr>
                <w:rFonts w:ascii="仿宋" w:eastAsia="仿宋" w:hAnsi="仿宋" w:cs="仿宋" w:hint="eastAsia"/>
                <w:szCs w:val="21"/>
              </w:rPr>
              <w:t>日，经批准可延长</w:t>
            </w:r>
            <w:r>
              <w:rPr>
                <w:rFonts w:ascii="仿宋" w:eastAsia="仿宋" w:hAnsi="仿宋" w:cs="仿宋"/>
                <w:szCs w:val="21"/>
              </w:rPr>
              <w:t>15</w:t>
            </w:r>
            <w:r>
              <w:rPr>
                <w:rFonts w:ascii="仿宋" w:eastAsia="仿宋" w:hAnsi="仿宋" w:cs="仿宋" w:hint="eastAsia"/>
                <w:szCs w:val="21"/>
              </w:rPr>
              <w:t>日。</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（商标）</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《商标法》（</w:t>
            </w:r>
            <w:r>
              <w:rPr>
                <w:rFonts w:ascii="仿宋" w:eastAsia="仿宋" w:hAnsi="仿宋"/>
                <w:szCs w:val="21"/>
              </w:rPr>
              <w:t>2019</w:t>
            </w:r>
            <w:r>
              <w:rPr>
                <w:rFonts w:ascii="仿宋" w:eastAsia="仿宋" w:hAnsi="仿宋" w:hint="eastAsia"/>
                <w:szCs w:val="21"/>
              </w:rPr>
              <w:t>）第六十二条第一款第（四）项</w:t>
            </w:r>
            <w:r>
              <w:rPr>
                <w:rFonts w:ascii="仿宋" w:eastAsia="仿宋" w:hAnsi="仿宋"/>
                <w:szCs w:val="21"/>
              </w:rPr>
              <w:t xml:space="preserve"> </w:t>
            </w:r>
            <w:r>
              <w:rPr>
                <w:rFonts w:ascii="仿宋" w:eastAsia="仿宋" w:hAnsi="仿宋" w:hint="eastAsia"/>
                <w:szCs w:val="21"/>
              </w:rPr>
              <w:t>县级以上工商行政管理部门根据已经取得的违法嫌疑证据或者举报，对涉嫌侵犯他人注册商标专用权的行为进行查处时，可以行使下列职权：（四）检查与侵权活动有关的物品；对有证据证明是侵犯他人注册商标专用权的物品，可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（商标）</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《世界博览会标志保护条例》（</w:t>
            </w:r>
            <w:r>
              <w:rPr>
                <w:rFonts w:ascii="仿宋" w:eastAsia="仿宋" w:hAnsi="仿宋"/>
                <w:szCs w:val="21"/>
              </w:rPr>
              <w:t>2004</w:t>
            </w:r>
            <w:r>
              <w:rPr>
                <w:rFonts w:ascii="仿宋" w:eastAsia="仿宋" w:hAnsi="仿宋" w:hint="eastAsia"/>
                <w:szCs w:val="21"/>
              </w:rPr>
              <w:t>）第十条第一款第（四）项</w:t>
            </w:r>
            <w:r>
              <w:rPr>
                <w:rFonts w:ascii="仿宋" w:eastAsia="仿宋" w:hAnsi="仿宋"/>
                <w:szCs w:val="21"/>
              </w:rPr>
              <w:t xml:space="preserve"> </w:t>
            </w:r>
            <w:r>
              <w:rPr>
                <w:rFonts w:ascii="仿宋" w:eastAsia="仿宋" w:hAnsi="仿宋" w:hint="eastAsia"/>
                <w:szCs w:val="21"/>
              </w:rPr>
              <w:t>工商行政管理部门根据已经取得的违法嫌疑证据或者举报查处涉嫌侵犯世界博览会标志专有权的行为时，可以行使下列职权：（四）检查与侵权活动有关的物品；对有证据证明侵犯世界博览会标志专有权的物品，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（商标）</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《奥林匹克标志保护条例》（</w:t>
            </w:r>
            <w:r>
              <w:rPr>
                <w:rFonts w:ascii="仿宋" w:eastAsia="仿宋" w:hAnsi="仿宋"/>
                <w:szCs w:val="21"/>
              </w:rPr>
              <w:t>2018</w:t>
            </w:r>
            <w:r>
              <w:rPr>
                <w:rFonts w:ascii="仿宋" w:eastAsia="仿宋" w:hAnsi="仿宋" w:hint="eastAsia"/>
                <w:szCs w:val="21"/>
              </w:rPr>
              <w:t>）第十三条第二款第（四）项</w:t>
            </w:r>
            <w:r>
              <w:rPr>
                <w:rFonts w:ascii="仿宋" w:eastAsia="仿宋" w:hAnsi="仿宋"/>
                <w:szCs w:val="21"/>
              </w:rPr>
              <w:t xml:space="preserve"> </w:t>
            </w:r>
            <w:r>
              <w:rPr>
                <w:rFonts w:ascii="仿宋" w:eastAsia="仿宋" w:hAnsi="仿宋" w:hint="eastAsia"/>
                <w:szCs w:val="21"/>
              </w:rPr>
              <w:t>市场监督管理部门根据已经取得的违法嫌疑证据或者举报，对涉嫌侵犯奥林匹克标志专有权的行为进行查处时，可以行使下列职权：（四）检查与侵权活动有关的物品；对有证据证明是侵犯奥林匹克标志专有权的物品，予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（专利）</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《专利法》（</w:t>
            </w:r>
            <w:r>
              <w:rPr>
                <w:rFonts w:ascii="仿宋" w:eastAsia="仿宋" w:hAnsi="仿宋"/>
                <w:szCs w:val="21"/>
              </w:rPr>
              <w:t>2008</w:t>
            </w:r>
            <w:r>
              <w:rPr>
                <w:rFonts w:ascii="仿宋" w:eastAsia="仿宋" w:hAnsi="仿宋" w:hint="eastAsia"/>
                <w:szCs w:val="21"/>
              </w:rPr>
              <w:t>）第六十四条第一款</w:t>
            </w:r>
            <w:r>
              <w:rPr>
                <w:rFonts w:ascii="仿宋" w:eastAsia="仿宋" w:hAnsi="仿宋"/>
                <w:szCs w:val="21"/>
              </w:rPr>
              <w:t xml:space="preserve"> </w:t>
            </w:r>
            <w:r>
              <w:rPr>
                <w:rFonts w:ascii="仿宋" w:eastAsia="仿宋" w:hAnsi="仿宋" w:hint="eastAsia"/>
                <w:szCs w:val="21"/>
              </w:rPr>
              <w:t>管理专利工作的部门根据已经取得的证据，对涉嫌假冒专利行为进行查处时，可以询问有关当事人，调查与涉嫌违法行为有关的情况；对当事人涉嫌违法行为的场所实施现场检查；查阅、复制与涉嫌违法行为有关的合同、发票、账簿以及其他有关资料；检查与涉嫌违法行为有关的产品，对有证据证明是假冒专利的产品，可以查封或者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（专利）</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《专利管理机关查处冒充专利行为规定》（</w:t>
            </w:r>
            <w:r>
              <w:rPr>
                <w:rFonts w:ascii="仿宋" w:eastAsia="仿宋" w:hAnsi="仿宋"/>
                <w:szCs w:val="21"/>
              </w:rPr>
              <w:t>1999</w:t>
            </w:r>
            <w:r>
              <w:rPr>
                <w:rFonts w:ascii="仿宋" w:eastAsia="仿宋" w:hAnsi="仿宋" w:hint="eastAsia"/>
                <w:szCs w:val="21"/>
              </w:rPr>
              <w:t>）第十二条第一款第（三）项</w:t>
            </w:r>
            <w:r>
              <w:rPr>
                <w:rFonts w:ascii="仿宋" w:eastAsia="仿宋" w:hAnsi="仿宋"/>
                <w:szCs w:val="21"/>
              </w:rPr>
              <w:t xml:space="preserve"> </w:t>
            </w:r>
            <w:r>
              <w:rPr>
                <w:rFonts w:ascii="仿宋" w:eastAsia="仿宋" w:hAnsi="仿宋" w:hint="eastAsia"/>
                <w:szCs w:val="21"/>
              </w:rPr>
              <w:t>查处承办人员调查冒充专利行为时，可以行使下列职权：三、检查与冒充专利行为有关物品，必要时可以予以封存。</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（广告）</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《广告法》（</w:t>
            </w:r>
            <w:r>
              <w:rPr>
                <w:rFonts w:ascii="仿宋" w:eastAsia="仿宋" w:hAnsi="仿宋"/>
                <w:szCs w:val="21"/>
              </w:rPr>
              <w:t>2018</w:t>
            </w:r>
            <w:r>
              <w:rPr>
                <w:rFonts w:ascii="仿宋" w:eastAsia="仿宋" w:hAnsi="仿宋" w:hint="eastAsia"/>
                <w:szCs w:val="21"/>
              </w:rPr>
              <w:t>）第四十九条第一款第（五）项、第（六）项</w:t>
            </w:r>
            <w:r>
              <w:rPr>
                <w:rFonts w:ascii="仿宋" w:eastAsia="仿宋" w:hAnsi="仿宋"/>
                <w:szCs w:val="21"/>
              </w:rPr>
              <w:t xml:space="preserve"> </w:t>
            </w:r>
            <w:r>
              <w:rPr>
                <w:rFonts w:ascii="仿宋" w:eastAsia="仿宋" w:hAnsi="仿宋" w:hint="eastAsia"/>
                <w:szCs w:val="21"/>
              </w:rPr>
              <w:t>市场监督管理部门履行广告监督管理职责，可以行使下列职权：</w:t>
            </w:r>
            <w:r>
              <w:rPr>
                <w:rFonts w:ascii="仿宋" w:eastAsia="仿宋" w:hAnsi="仿宋"/>
                <w:szCs w:val="21"/>
              </w:rPr>
              <w:t>(</w:t>
            </w:r>
            <w:r>
              <w:rPr>
                <w:rFonts w:ascii="仿宋" w:eastAsia="仿宋" w:hAnsi="仿宋" w:hint="eastAsia"/>
                <w:szCs w:val="21"/>
              </w:rPr>
              <w:t>五</w:t>
            </w:r>
            <w:r>
              <w:rPr>
                <w:rFonts w:ascii="仿宋" w:eastAsia="仿宋" w:hAnsi="仿宋"/>
                <w:szCs w:val="21"/>
              </w:rPr>
              <w:t>)</w:t>
            </w:r>
            <w:r>
              <w:rPr>
                <w:rFonts w:ascii="仿宋" w:eastAsia="仿宋" w:hAnsi="仿宋" w:hint="eastAsia"/>
                <w:szCs w:val="21"/>
              </w:rPr>
              <w:t>查封、扣押与涉嫌违法广告直接相关的广告物品、经营工具、设备等财物；</w:t>
            </w:r>
            <w:r>
              <w:rPr>
                <w:rFonts w:ascii="仿宋" w:eastAsia="仿宋" w:hAnsi="仿宋"/>
                <w:szCs w:val="21"/>
              </w:rPr>
              <w:t>(</w:t>
            </w:r>
            <w:r>
              <w:rPr>
                <w:rFonts w:ascii="仿宋" w:eastAsia="仿宋" w:hAnsi="仿宋" w:hint="eastAsia"/>
                <w:szCs w:val="21"/>
              </w:rPr>
              <w:t>六</w:t>
            </w:r>
            <w:r>
              <w:rPr>
                <w:rFonts w:ascii="仿宋" w:eastAsia="仿宋" w:hAnsi="仿宋"/>
                <w:szCs w:val="21"/>
              </w:rPr>
              <w:t>)</w:t>
            </w:r>
            <w:r>
              <w:rPr>
                <w:rFonts w:ascii="仿宋" w:eastAsia="仿宋" w:hAnsi="仿宋" w:hint="eastAsia"/>
                <w:szCs w:val="21"/>
              </w:rPr>
              <w:t>责令暂停发布可能造成严重后果的涉嫌违法广告。</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（公司登记）</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《中华人民共和国公司登记管理条例》（</w:t>
            </w:r>
            <w:r>
              <w:rPr>
                <w:rFonts w:ascii="仿宋" w:eastAsia="仿宋" w:hAnsi="仿宋"/>
                <w:szCs w:val="21"/>
              </w:rPr>
              <w:t>2016</w:t>
            </w:r>
            <w:r>
              <w:rPr>
                <w:rFonts w:ascii="仿宋" w:eastAsia="仿宋" w:hAnsi="仿宋" w:hint="eastAsia"/>
                <w:szCs w:val="21"/>
              </w:rPr>
              <w:t>）第六十条</w:t>
            </w:r>
            <w:r>
              <w:rPr>
                <w:rFonts w:ascii="仿宋" w:eastAsia="仿宋" w:hAnsi="仿宋"/>
                <w:szCs w:val="21"/>
              </w:rPr>
              <w:t xml:space="preserve"> </w:t>
            </w:r>
            <w:r>
              <w:rPr>
                <w:rFonts w:ascii="仿宋" w:eastAsia="仿宋" w:hAnsi="仿宋" w:hint="eastAsia"/>
                <w:szCs w:val="21"/>
              </w:rPr>
              <w:t>公司登记机关对需要认定的营业执照，可以临时扣留，扣留期限不得超过</w:t>
            </w:r>
            <w:r>
              <w:rPr>
                <w:rFonts w:ascii="仿宋" w:eastAsia="仿宋" w:hAnsi="仿宋"/>
                <w:szCs w:val="21"/>
              </w:rPr>
              <w:t>10</w:t>
            </w:r>
            <w:r>
              <w:rPr>
                <w:rFonts w:ascii="仿宋" w:eastAsia="仿宋" w:hAnsi="仿宋" w:hint="eastAsia"/>
                <w:szCs w:val="21"/>
              </w:rPr>
              <w:t>天。</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（公司登记）</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《外国企业常驻代表机构登记管理条例》（</w:t>
            </w:r>
            <w:r>
              <w:rPr>
                <w:rFonts w:ascii="仿宋" w:eastAsia="仿宋" w:hAnsi="仿宋"/>
                <w:szCs w:val="21"/>
              </w:rPr>
              <w:t>2018</w:t>
            </w:r>
            <w:r>
              <w:rPr>
                <w:rFonts w:ascii="仿宋" w:eastAsia="仿宋" w:hAnsi="仿宋" w:hint="eastAsia"/>
                <w:szCs w:val="21"/>
              </w:rPr>
              <w:t>）第二十一条第一款第（二）项、第（三）项</w:t>
            </w:r>
            <w:r>
              <w:rPr>
                <w:rFonts w:ascii="仿宋" w:eastAsia="仿宋" w:hAnsi="仿宋"/>
                <w:szCs w:val="21"/>
              </w:rPr>
              <w:t xml:space="preserve"> </w:t>
            </w:r>
            <w:r>
              <w:rPr>
                <w:rFonts w:ascii="仿宋" w:eastAsia="仿宋" w:hAnsi="仿宋" w:hint="eastAsia"/>
                <w:szCs w:val="21"/>
              </w:rPr>
              <w:t>登记机关对代表机构涉嫌违反本条例的行为进行查处，可以依法行使下列职权：（二）查阅、复制、查封、扣押与违法行为有关的合同、票据、账簿以及其他资料；（三）查封、扣押专门用于从事违法行为的工具、设备、原材料、产品（商品）等财物；</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cs="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（无照经营）</w:t>
            </w:r>
          </w:p>
        </w:tc>
        <w:tc>
          <w:tcPr>
            <w:tcW w:w="7290" w:type="dxa"/>
            <w:vAlign w:val="center"/>
          </w:tcPr>
          <w:p w:rsidR="009D157D" w:rsidRDefault="009D157D">
            <w:pPr>
              <w:jc w:val="left"/>
              <w:rPr>
                <w:rFonts w:ascii="仿宋" w:eastAsia="仿宋" w:hAnsi="仿宋" w:cs="仿宋"/>
                <w:szCs w:val="21"/>
              </w:rPr>
            </w:pPr>
            <w:r>
              <w:rPr>
                <w:rFonts w:ascii="仿宋" w:eastAsia="仿宋" w:hAnsi="仿宋" w:hint="eastAsia"/>
                <w:szCs w:val="21"/>
              </w:rPr>
              <w:t>《无证无照经营查处办法》（</w:t>
            </w:r>
            <w:r>
              <w:rPr>
                <w:rFonts w:ascii="仿宋" w:eastAsia="仿宋" w:hAnsi="仿宋"/>
                <w:szCs w:val="21"/>
              </w:rPr>
              <w:t>2017</w:t>
            </w:r>
            <w:r>
              <w:rPr>
                <w:rFonts w:ascii="仿宋" w:eastAsia="仿宋" w:hAnsi="仿宋" w:hint="eastAsia"/>
                <w:szCs w:val="21"/>
              </w:rPr>
              <w:t>）第十一条第二款</w:t>
            </w:r>
            <w:r>
              <w:rPr>
                <w:rFonts w:ascii="仿宋" w:eastAsia="仿宋" w:hAnsi="仿宋"/>
                <w:szCs w:val="21"/>
              </w:rPr>
              <w:t xml:space="preserve"> </w:t>
            </w:r>
            <w:r>
              <w:rPr>
                <w:rFonts w:ascii="仿宋" w:eastAsia="仿宋" w:hAnsi="仿宋" w:hint="eastAsia"/>
                <w:szCs w:val="21"/>
              </w:rPr>
              <w:t>县级以上人民政府工商行政管理部门对涉嫌无照经营进行查处，可以行使下列职权：对涉嫌从事无照经营的场所，可以予以查封；对涉嫌用于无照经营的工具、设备、原材料、产品（商品）等物品，可以予以查封、扣押。</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cs="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（危险化学品）</w:t>
            </w:r>
          </w:p>
        </w:tc>
        <w:tc>
          <w:tcPr>
            <w:tcW w:w="7290" w:type="dxa"/>
            <w:vAlign w:val="center"/>
          </w:tcPr>
          <w:p w:rsidR="009D157D" w:rsidRDefault="009D157D">
            <w:pPr>
              <w:jc w:val="left"/>
              <w:rPr>
                <w:rFonts w:ascii="仿宋" w:eastAsia="仿宋" w:hAnsi="仿宋" w:cs="仿宋"/>
                <w:szCs w:val="21"/>
              </w:rPr>
            </w:pPr>
            <w:r>
              <w:rPr>
                <w:rFonts w:ascii="仿宋" w:eastAsia="仿宋" w:hAnsi="仿宋" w:hint="eastAsia"/>
                <w:szCs w:val="21"/>
              </w:rPr>
              <w:t>《危险化学品安全管理条例》（</w:t>
            </w:r>
            <w:r>
              <w:rPr>
                <w:rFonts w:ascii="仿宋" w:eastAsia="仿宋" w:hAnsi="仿宋"/>
                <w:szCs w:val="21"/>
              </w:rPr>
              <w:t>2013</w:t>
            </w:r>
            <w:r>
              <w:rPr>
                <w:rFonts w:ascii="仿宋" w:eastAsia="仿宋" w:hAnsi="仿宋" w:hint="eastAsia"/>
                <w:szCs w:val="21"/>
              </w:rPr>
              <w:t>）第七条第一款第（四）项</w:t>
            </w:r>
            <w:r>
              <w:rPr>
                <w:rFonts w:ascii="仿宋" w:eastAsia="仿宋" w:hAnsi="仿宋"/>
                <w:szCs w:val="21"/>
              </w:rPr>
              <w:t xml:space="preserve"> </w:t>
            </w:r>
            <w:r>
              <w:rPr>
                <w:rFonts w:ascii="仿宋" w:eastAsia="仿宋" w:hAnsi="仿宋" w:hint="eastAsia"/>
                <w:szCs w:val="21"/>
              </w:rPr>
              <w:t>负有危险化学品安全监督管理职责的部门依法进行监督检查，可以采取下列措施：</w:t>
            </w:r>
            <w:r>
              <w:rPr>
                <w:rFonts w:ascii="仿宋" w:eastAsia="仿宋" w:hAnsi="仿宋"/>
                <w:szCs w:val="21"/>
              </w:rPr>
              <w:t>(</w:t>
            </w:r>
            <w:r>
              <w:rPr>
                <w:rFonts w:ascii="仿宋" w:eastAsia="仿宋" w:hAnsi="仿宋" w:hint="eastAsia"/>
                <w:szCs w:val="21"/>
              </w:rPr>
              <w:t>四</w:t>
            </w:r>
            <w:r>
              <w:rPr>
                <w:rFonts w:ascii="仿宋" w:eastAsia="仿宋" w:hAnsi="仿宋"/>
                <w:szCs w:val="21"/>
              </w:rPr>
              <w:t>)</w:t>
            </w:r>
            <w:r>
              <w:rPr>
                <w:rFonts w:ascii="仿宋" w:eastAsia="仿宋" w:hAnsi="仿宋" w:hint="eastAsia"/>
                <w:szCs w:val="21"/>
              </w:rPr>
              <w:t>经本部门主要负责人批准，查封违法生产、储存、使用、经营危险化学品的场所，扣押违法生产、储存、使用、经营、运输的危险化学品以及用于违法生产、使用、运输危险化学品的原材料、设备、运输工具；</w:t>
            </w:r>
          </w:p>
        </w:tc>
        <w:tc>
          <w:tcPr>
            <w:tcW w:w="1665" w:type="dxa"/>
            <w:tcBorders>
              <w:top w:val="single" w:sz="4" w:space="0" w:color="000000"/>
              <w:left w:val="single" w:sz="4" w:space="0" w:color="000000"/>
              <w:bottom w:val="single" w:sz="4" w:space="0" w:color="000000"/>
              <w:right w:val="single" w:sz="4" w:space="0" w:color="000000"/>
            </w:tcBorders>
            <w:vAlign w:val="center"/>
          </w:tcPr>
          <w:p w:rsidR="009D157D" w:rsidRDefault="009D157D">
            <w:pPr>
              <w:spacing w:line="560" w:lineRule="exact"/>
              <w:jc w:val="center"/>
              <w:rPr>
                <w:rFonts w:ascii="仿宋" w:eastAsia="仿宋" w:hAnsi="仿宋" w:cs="仿宋"/>
                <w:szCs w:val="21"/>
              </w:rPr>
            </w:pPr>
            <w:r>
              <w:rPr>
                <w:rFonts w:ascii="仿宋" w:eastAsia="仿宋" w:hAnsi="仿宋" w:cs="仿宋" w:hint="eastAsia"/>
                <w:szCs w:val="21"/>
              </w:rPr>
              <w:t>否</w:t>
            </w:r>
          </w:p>
        </w:tc>
        <w:tc>
          <w:tcPr>
            <w:tcW w:w="1710" w:type="dxa"/>
            <w:tcBorders>
              <w:top w:val="single" w:sz="4" w:space="0" w:color="000000"/>
              <w:left w:val="single" w:sz="4" w:space="0" w:color="000000"/>
              <w:bottom w:val="single" w:sz="4" w:space="0" w:color="000000"/>
              <w:right w:val="single" w:sz="4" w:space="0" w:color="000000"/>
            </w:tcBorders>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tcBorders>
              <w:top w:val="single" w:sz="4" w:space="0" w:color="000000"/>
              <w:left w:val="single" w:sz="4" w:space="0" w:color="000000"/>
              <w:bottom w:val="single" w:sz="4" w:space="0" w:color="000000"/>
              <w:right w:val="single" w:sz="4" w:space="0" w:color="000000"/>
            </w:tcBorders>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（危险化学品）</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《军服管理条例》（</w:t>
            </w:r>
            <w:r>
              <w:rPr>
                <w:rFonts w:ascii="仿宋" w:eastAsia="仿宋" w:hAnsi="仿宋"/>
                <w:szCs w:val="21"/>
              </w:rPr>
              <w:t>2009</w:t>
            </w:r>
            <w:r>
              <w:rPr>
                <w:rFonts w:ascii="仿宋" w:eastAsia="仿宋" w:hAnsi="仿宋" w:hint="eastAsia"/>
                <w:szCs w:val="21"/>
              </w:rPr>
              <w:t>）第十二条第二款</w:t>
            </w:r>
            <w:r>
              <w:rPr>
                <w:rFonts w:ascii="仿宋" w:eastAsia="仿宋" w:hAnsi="仿宋"/>
                <w:szCs w:val="21"/>
              </w:rPr>
              <w:t xml:space="preserve"> </w:t>
            </w:r>
            <w:r>
              <w:rPr>
                <w:rFonts w:ascii="仿宋" w:eastAsia="仿宋" w:hAnsi="仿宋" w:hint="eastAsia"/>
                <w:szCs w:val="21"/>
              </w:rPr>
              <w:t>工商行政管理部门发现涉嫌非法生产、销售军服或者军服仿制品的行为时，可以查封、扣押涉嫌物品。</w:t>
            </w:r>
          </w:p>
        </w:tc>
        <w:tc>
          <w:tcPr>
            <w:tcW w:w="1665" w:type="dxa"/>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（网络交易）</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《网络交易管理办法》（</w:t>
            </w:r>
            <w:r>
              <w:rPr>
                <w:rFonts w:ascii="仿宋" w:eastAsia="仿宋" w:hAnsi="仿宋"/>
                <w:szCs w:val="21"/>
              </w:rPr>
              <w:t>2014</w:t>
            </w:r>
            <w:r>
              <w:rPr>
                <w:rFonts w:ascii="仿宋" w:eastAsia="仿宋" w:hAnsi="仿宋" w:hint="eastAsia"/>
                <w:szCs w:val="21"/>
              </w:rPr>
              <w:t>）第四十三条第一款第（三）项</w:t>
            </w:r>
            <w:r>
              <w:rPr>
                <w:rFonts w:ascii="仿宋" w:eastAsia="仿宋" w:hAnsi="仿宋"/>
                <w:szCs w:val="21"/>
              </w:rPr>
              <w:t xml:space="preserve"> </w:t>
            </w:r>
            <w:r>
              <w:rPr>
                <w:rFonts w:ascii="仿宋" w:eastAsia="仿宋" w:hAnsi="仿宋" w:hint="eastAsia"/>
                <w:szCs w:val="21"/>
              </w:rPr>
              <w:t>县级以上工商行政管理部门对涉嫌违法的网络商品交易及有关服务行为进行查处时，可以行使下列职权：（三）依照法律、法规的规定，查封、扣押用于从事违法网络商品交易及有关服务行为的商品、工具、设备等物品，查封用于从事违法网络商品交易及有关服务行为的经营场所；</w:t>
            </w:r>
          </w:p>
        </w:tc>
        <w:tc>
          <w:tcPr>
            <w:tcW w:w="1665" w:type="dxa"/>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（计量）</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《计量法实施细则》（</w:t>
            </w:r>
            <w:r>
              <w:rPr>
                <w:rFonts w:ascii="仿宋" w:eastAsia="仿宋" w:hAnsi="仿宋"/>
                <w:szCs w:val="21"/>
              </w:rPr>
              <w:t>2018</w:t>
            </w:r>
            <w:r>
              <w:rPr>
                <w:rFonts w:ascii="仿宋" w:eastAsia="仿宋" w:hAnsi="仿宋" w:hint="eastAsia"/>
                <w:szCs w:val="21"/>
              </w:rPr>
              <w:t>）第四十四条</w:t>
            </w:r>
            <w:r>
              <w:rPr>
                <w:rFonts w:ascii="仿宋" w:eastAsia="仿宋" w:hAnsi="仿宋"/>
                <w:szCs w:val="21"/>
              </w:rPr>
              <w:t xml:space="preserve"> </w:t>
            </w:r>
            <w:r>
              <w:rPr>
                <w:rFonts w:ascii="仿宋" w:eastAsia="仿宋" w:hAnsi="仿宋" w:hint="eastAsia"/>
                <w:szCs w:val="21"/>
              </w:rPr>
              <w:t>制造、销售未经型式批准或样机试验合格的计量器具新产品的，责令其停止制造、销售</w:t>
            </w:r>
            <w:bookmarkStart w:id="0" w:name="_GoBack"/>
            <w:bookmarkEnd w:id="0"/>
            <w:r>
              <w:rPr>
                <w:rFonts w:ascii="仿宋" w:eastAsia="仿宋" w:hAnsi="仿宋" w:hint="eastAsia"/>
                <w:szCs w:val="21"/>
              </w:rPr>
              <w:t>，封存该种新产品，没收全部违法所得，可并处</w:t>
            </w:r>
            <w:r>
              <w:rPr>
                <w:rFonts w:ascii="仿宋" w:eastAsia="仿宋" w:hAnsi="仿宋"/>
                <w:szCs w:val="21"/>
              </w:rPr>
              <w:t>3000</w:t>
            </w:r>
            <w:r>
              <w:rPr>
                <w:rFonts w:ascii="仿宋" w:eastAsia="仿宋" w:hAnsi="仿宋" w:hint="eastAsia"/>
                <w:szCs w:val="21"/>
              </w:rPr>
              <w:t>元以下的罚款。</w:t>
            </w:r>
          </w:p>
        </w:tc>
        <w:tc>
          <w:tcPr>
            <w:tcW w:w="1665" w:type="dxa"/>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vAlign w:val="center"/>
          </w:tcPr>
          <w:p w:rsidR="009D157D" w:rsidRDefault="009D157D" w:rsidP="00E371BE">
            <w:pPr>
              <w:jc w:val="center"/>
            </w:pPr>
            <w:r w:rsidRPr="00A428F8">
              <w:rPr>
                <w:rFonts w:ascii="仿宋" w:eastAsia="仿宋" w:hAnsi="仿宋" w:cs="仿宋" w:hint="eastAsia"/>
                <w:szCs w:val="21"/>
              </w:rPr>
              <w:t>市、县（市）、区</w:t>
            </w:r>
          </w:p>
        </w:tc>
      </w:tr>
      <w:tr w:rsidR="009D157D" w:rsidTr="00E371BE">
        <w:trPr>
          <w:trHeight w:val="1701"/>
        </w:trPr>
        <w:tc>
          <w:tcPr>
            <w:tcW w:w="578" w:type="dxa"/>
            <w:vAlign w:val="center"/>
          </w:tcPr>
          <w:p w:rsidR="009D157D" w:rsidRDefault="009D157D" w:rsidP="00E371BE">
            <w:pPr>
              <w:numPr>
                <w:ilvl w:val="0"/>
                <w:numId w:val="1"/>
              </w:numPr>
              <w:spacing w:line="560" w:lineRule="exact"/>
              <w:jc w:val="center"/>
              <w:rPr>
                <w:rFonts w:ascii="仿宋" w:eastAsia="仿宋" w:hAnsi="仿宋" w:cs="仿宋"/>
                <w:szCs w:val="21"/>
              </w:rPr>
            </w:pPr>
          </w:p>
        </w:tc>
        <w:tc>
          <w:tcPr>
            <w:tcW w:w="1505" w:type="dxa"/>
            <w:vAlign w:val="center"/>
          </w:tcPr>
          <w:p w:rsidR="009D157D" w:rsidRDefault="009D157D">
            <w:pPr>
              <w:jc w:val="center"/>
              <w:rPr>
                <w:rFonts w:ascii="仿宋" w:eastAsia="仿宋" w:hAnsi="仿宋"/>
                <w:szCs w:val="21"/>
              </w:rPr>
            </w:pPr>
            <w:r>
              <w:rPr>
                <w:rFonts w:ascii="仿宋" w:eastAsia="仿宋" w:hAnsi="仿宋" w:hint="eastAsia"/>
                <w:szCs w:val="21"/>
              </w:rPr>
              <w:t>市场监管</w:t>
            </w:r>
            <w:r>
              <w:rPr>
                <w:rFonts w:ascii="仿宋" w:eastAsia="仿宋" w:hAnsi="仿宋"/>
                <w:szCs w:val="21"/>
              </w:rPr>
              <w:br/>
            </w:r>
            <w:r>
              <w:rPr>
                <w:rFonts w:ascii="仿宋" w:eastAsia="仿宋" w:hAnsi="仿宋" w:hint="eastAsia"/>
                <w:szCs w:val="21"/>
              </w:rPr>
              <w:t>（标准化）</w:t>
            </w:r>
          </w:p>
        </w:tc>
        <w:tc>
          <w:tcPr>
            <w:tcW w:w="7290" w:type="dxa"/>
            <w:vAlign w:val="center"/>
          </w:tcPr>
          <w:p w:rsidR="009D157D" w:rsidRDefault="009D157D">
            <w:pPr>
              <w:jc w:val="left"/>
              <w:rPr>
                <w:rFonts w:ascii="仿宋" w:eastAsia="仿宋" w:hAnsi="仿宋"/>
                <w:szCs w:val="21"/>
              </w:rPr>
            </w:pPr>
            <w:r>
              <w:rPr>
                <w:rFonts w:ascii="仿宋" w:eastAsia="仿宋" w:hAnsi="仿宋" w:hint="eastAsia"/>
                <w:szCs w:val="21"/>
              </w:rPr>
              <w:t>《中华人民共和国标准化法实施条例》第三十三条第三款进口不符合强制性标准的产品的，应当封存并没收该产品，监督销毁或作必要技术处理；处以进口产品货值金额</w:t>
            </w:r>
            <w:r>
              <w:rPr>
                <w:rFonts w:ascii="仿宋" w:eastAsia="仿宋" w:hAnsi="仿宋"/>
                <w:szCs w:val="21"/>
              </w:rPr>
              <w:t xml:space="preserve"> 20</w:t>
            </w:r>
            <w:r>
              <w:rPr>
                <w:rFonts w:ascii="仿宋" w:eastAsia="仿宋" w:hAnsi="仿宋" w:hint="eastAsia"/>
                <w:szCs w:val="21"/>
              </w:rPr>
              <w:t>％</w:t>
            </w:r>
            <w:r>
              <w:rPr>
                <w:rFonts w:ascii="仿宋" w:eastAsia="仿宋" w:hAnsi="仿宋"/>
                <w:szCs w:val="21"/>
              </w:rPr>
              <w:t xml:space="preserve"> </w:t>
            </w:r>
            <w:r>
              <w:rPr>
                <w:rFonts w:ascii="仿宋" w:eastAsia="仿宋" w:hAnsi="仿宋" w:hint="eastAsia"/>
                <w:szCs w:val="21"/>
              </w:rPr>
              <w:t>至</w:t>
            </w:r>
            <w:r>
              <w:rPr>
                <w:rFonts w:ascii="仿宋" w:eastAsia="仿宋" w:hAnsi="仿宋"/>
                <w:szCs w:val="21"/>
              </w:rPr>
              <w:t xml:space="preserve"> 50</w:t>
            </w:r>
            <w:r>
              <w:rPr>
                <w:rFonts w:ascii="仿宋" w:eastAsia="仿宋" w:hAnsi="仿宋" w:hint="eastAsia"/>
                <w:szCs w:val="21"/>
              </w:rPr>
              <w:t>％</w:t>
            </w:r>
            <w:r>
              <w:rPr>
                <w:rFonts w:ascii="仿宋" w:eastAsia="仿宋" w:hAnsi="仿宋"/>
                <w:szCs w:val="21"/>
              </w:rPr>
              <w:t xml:space="preserve"> </w:t>
            </w:r>
            <w:r>
              <w:rPr>
                <w:rFonts w:ascii="仿宋" w:eastAsia="仿宋" w:hAnsi="仿宋" w:hint="eastAsia"/>
                <w:szCs w:val="21"/>
              </w:rPr>
              <w:t>的罚款；对有关责任者给予行政处分，并可处以</w:t>
            </w:r>
            <w:r>
              <w:rPr>
                <w:rFonts w:ascii="仿宋" w:eastAsia="仿宋" w:hAnsi="仿宋"/>
                <w:szCs w:val="21"/>
              </w:rPr>
              <w:t xml:space="preserve"> 5000 </w:t>
            </w:r>
            <w:r>
              <w:rPr>
                <w:rFonts w:ascii="仿宋" w:eastAsia="仿宋" w:hAnsi="仿宋" w:hint="eastAsia"/>
                <w:szCs w:val="21"/>
              </w:rPr>
              <w:t>元以下罚款。</w:t>
            </w:r>
          </w:p>
        </w:tc>
        <w:tc>
          <w:tcPr>
            <w:tcW w:w="1665" w:type="dxa"/>
            <w:vAlign w:val="center"/>
          </w:tcPr>
          <w:p w:rsidR="009D157D" w:rsidRDefault="009D157D">
            <w:pPr>
              <w:spacing w:line="560" w:lineRule="exact"/>
              <w:jc w:val="center"/>
              <w:rPr>
                <w:rFonts w:ascii="仿宋" w:eastAsia="仿宋" w:hAnsi="仿宋"/>
                <w:szCs w:val="21"/>
              </w:rPr>
            </w:pPr>
            <w:r>
              <w:rPr>
                <w:rFonts w:ascii="仿宋" w:eastAsia="仿宋" w:hAnsi="仿宋" w:cs="仿宋" w:hint="eastAsia"/>
                <w:szCs w:val="21"/>
              </w:rPr>
              <w:t>否</w:t>
            </w:r>
          </w:p>
        </w:tc>
        <w:tc>
          <w:tcPr>
            <w:tcW w:w="1710" w:type="dxa"/>
            <w:vAlign w:val="center"/>
          </w:tcPr>
          <w:p w:rsidR="009D157D" w:rsidRDefault="009D157D">
            <w:pPr>
              <w:snapToGrid w:val="0"/>
              <w:jc w:val="center"/>
              <w:rPr>
                <w:rFonts w:ascii="仿宋" w:eastAsia="仿宋" w:hAnsi="仿宋" w:cs="仿宋"/>
                <w:szCs w:val="21"/>
              </w:rPr>
            </w:pPr>
            <w:r>
              <w:rPr>
                <w:rFonts w:ascii="仿宋" w:eastAsia="仿宋" w:hAnsi="仿宋" w:cs="仿宋" w:hint="eastAsia"/>
                <w:szCs w:val="21"/>
              </w:rPr>
              <w:t>涉及人民群众</w:t>
            </w:r>
          </w:p>
          <w:p w:rsidR="009D157D" w:rsidRDefault="009D157D">
            <w:pPr>
              <w:snapToGrid w:val="0"/>
              <w:jc w:val="center"/>
              <w:rPr>
                <w:rFonts w:ascii="仿宋" w:eastAsia="仿宋" w:hAnsi="仿宋" w:cs="仿宋"/>
                <w:szCs w:val="21"/>
              </w:rPr>
            </w:pPr>
            <w:r>
              <w:rPr>
                <w:rFonts w:ascii="仿宋" w:eastAsia="仿宋" w:hAnsi="仿宋" w:cs="仿宋" w:hint="eastAsia"/>
                <w:szCs w:val="21"/>
              </w:rPr>
              <w:t>生命财产安全</w:t>
            </w:r>
          </w:p>
        </w:tc>
        <w:tc>
          <w:tcPr>
            <w:tcW w:w="1940" w:type="dxa"/>
            <w:vAlign w:val="center"/>
          </w:tcPr>
          <w:p w:rsidR="009D157D" w:rsidRDefault="009D157D" w:rsidP="00E371BE">
            <w:pPr>
              <w:jc w:val="center"/>
            </w:pPr>
            <w:r w:rsidRPr="00A428F8">
              <w:rPr>
                <w:rFonts w:ascii="仿宋" w:eastAsia="仿宋" w:hAnsi="仿宋" w:cs="仿宋" w:hint="eastAsia"/>
                <w:szCs w:val="21"/>
              </w:rPr>
              <w:t>市、县（市）、区</w:t>
            </w:r>
          </w:p>
        </w:tc>
      </w:tr>
    </w:tbl>
    <w:p w:rsidR="009D157D" w:rsidRDefault="009D157D"/>
    <w:sectPr w:rsidR="009D157D" w:rsidSect="001B1A73">
      <w:pgSz w:w="16838" w:h="11906" w:orient="landscape"/>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57D" w:rsidRDefault="009D157D">
      <w:r>
        <w:separator/>
      </w:r>
    </w:p>
  </w:endnote>
  <w:endnote w:type="continuationSeparator" w:id="0">
    <w:p w:rsidR="009D157D" w:rsidRDefault="009D15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57D" w:rsidRDefault="009D157D">
      <w:r>
        <w:separator/>
      </w:r>
    </w:p>
  </w:footnote>
  <w:footnote w:type="continuationSeparator" w:id="0">
    <w:p w:rsidR="009D157D" w:rsidRDefault="009D15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12313"/>
    <w:multiLevelType w:val="hybridMultilevel"/>
    <w:tmpl w:val="AAB444FE"/>
    <w:lvl w:ilvl="0" w:tplc="0409000F">
      <w:start w:val="1"/>
      <w:numFmt w:val="decimal"/>
      <w:lvlText w:val="%1."/>
      <w:lvlJc w:val="left"/>
      <w:pPr>
        <w:tabs>
          <w:tab w:val="num" w:pos="420"/>
        </w:tabs>
        <w:ind w:left="420" w:hanging="420"/>
      </w:pPr>
      <w:rPr>
        <w:rFonts w:cs="Times New Roman"/>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8757715"/>
    <w:rsid w:val="000113B2"/>
    <w:rsid w:val="00017039"/>
    <w:rsid w:val="00155F58"/>
    <w:rsid w:val="001B1A73"/>
    <w:rsid w:val="007B5F5F"/>
    <w:rsid w:val="009D157D"/>
    <w:rsid w:val="00A05B9D"/>
    <w:rsid w:val="00A428F8"/>
    <w:rsid w:val="00E371BE"/>
    <w:rsid w:val="28757715"/>
    <w:rsid w:val="53D04F1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3"/>
    <w:qFormat/>
    <w:rsid w:val="001B1A73"/>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
    <w:name w:val="Heading3"/>
    <w:basedOn w:val="Normal"/>
    <w:next w:val="Normal"/>
    <w:uiPriority w:val="99"/>
    <w:rsid w:val="001B1A73"/>
    <w:pPr>
      <w:keepNext/>
      <w:keepLines/>
      <w:spacing w:line="560" w:lineRule="exact"/>
      <w:textAlignment w:val="baseline"/>
    </w:pPr>
    <w:rPr>
      <w:b/>
    </w:rPr>
  </w:style>
  <w:style w:type="table" w:styleId="TableGrid">
    <w:name w:val="Table Grid"/>
    <w:basedOn w:val="TableNormal"/>
    <w:uiPriority w:val="99"/>
    <w:rsid w:val="001B1A73"/>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371B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E629D9"/>
    <w:rPr>
      <w:sz w:val="18"/>
      <w:szCs w:val="18"/>
    </w:rPr>
  </w:style>
  <w:style w:type="paragraph" w:styleId="Footer">
    <w:name w:val="footer"/>
    <w:basedOn w:val="Normal"/>
    <w:link w:val="FooterChar"/>
    <w:uiPriority w:val="99"/>
    <w:rsid w:val="00E371B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E629D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36793;&#36317;%20word&#27169;&#2649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2边距 word模板.dot</Template>
  <TotalTime>1</TotalTime>
  <Pages>11</Pages>
  <Words>1499</Words>
  <Characters>8550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Microsoft</cp:lastModifiedBy>
  <cp:revision>2</cp:revision>
  <dcterms:created xsi:type="dcterms:W3CDTF">2022-04-14T02:36:00Z</dcterms:created>
  <dcterms:modified xsi:type="dcterms:W3CDTF">2022-04-14T14:41:00Z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